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90CE" w14:textId="77777777" w:rsidR="00365F8D" w:rsidRDefault="00365F8D" w:rsidP="00365F8D">
      <w:pPr>
        <w:pStyle w:val="a3"/>
        <w:shd w:val="clear" w:color="auto" w:fill="FFFFFF"/>
        <w:spacing w:before="0" w:beforeAutospacing="0" w:after="0" w:afterAutospacing="0" w:line="360" w:lineRule="auto"/>
        <w:jc w:val="center"/>
        <w:rPr>
          <w:rFonts w:ascii="Times New Roman" w:hAnsi="Times New Roman" w:cs="Times New Roman"/>
          <w:b/>
          <w:color w:val="000000" w:themeColor="text1"/>
          <w:sz w:val="32"/>
          <w:szCs w:val="28"/>
        </w:rPr>
      </w:pPr>
      <w:r>
        <w:rPr>
          <w:rFonts w:ascii="Times New Roman" w:hAnsi="Times New Roman" w:cs="Times New Roman"/>
          <w:b/>
          <w:color w:val="000000" w:themeColor="text1"/>
          <w:sz w:val="32"/>
          <w:szCs w:val="28"/>
        </w:rPr>
        <w:t>2024</w:t>
      </w:r>
      <w:r>
        <w:rPr>
          <w:rFonts w:ascii="Times New Roman" w:hAnsi="Times New Roman" w:cs="Times New Roman"/>
          <w:b/>
          <w:color w:val="000000" w:themeColor="text1"/>
          <w:sz w:val="32"/>
          <w:szCs w:val="28"/>
        </w:rPr>
        <w:t>年江苏省研究生智慧交通运输</w:t>
      </w:r>
      <w:r>
        <w:rPr>
          <w:rFonts w:ascii="Times New Roman" w:hAnsi="Times New Roman" w:cs="Times New Roman" w:hint="eastAsia"/>
          <w:b/>
          <w:color w:val="000000" w:themeColor="text1"/>
          <w:sz w:val="32"/>
          <w:szCs w:val="28"/>
        </w:rPr>
        <w:t>科研</w:t>
      </w:r>
      <w:r>
        <w:rPr>
          <w:rFonts w:ascii="Times New Roman" w:hAnsi="Times New Roman" w:cs="Times New Roman"/>
          <w:b/>
          <w:color w:val="000000" w:themeColor="text1"/>
          <w:sz w:val="32"/>
          <w:szCs w:val="28"/>
        </w:rPr>
        <w:t>创新实践大赛</w:t>
      </w:r>
    </w:p>
    <w:p w14:paraId="0047DCEC" w14:textId="77777777" w:rsidR="00365F8D" w:rsidRDefault="00365F8D" w:rsidP="00365F8D">
      <w:pPr>
        <w:pStyle w:val="a3"/>
        <w:shd w:val="clear" w:color="auto" w:fill="FFFFFF"/>
        <w:spacing w:before="0" w:beforeAutospacing="0" w:after="0" w:afterAutospacing="0" w:line="360" w:lineRule="auto"/>
        <w:jc w:val="center"/>
        <w:rPr>
          <w:rFonts w:ascii="Times New Roman" w:hAnsi="Times New Roman" w:cs="Times New Roman"/>
          <w:b/>
          <w:color w:val="000000" w:themeColor="text1"/>
          <w:sz w:val="32"/>
          <w:szCs w:val="28"/>
        </w:rPr>
      </w:pPr>
      <w:r>
        <w:rPr>
          <w:rFonts w:ascii="Times New Roman" w:hAnsi="Times New Roman" w:cs="Times New Roman" w:hint="eastAsia"/>
          <w:b/>
          <w:color w:val="000000" w:themeColor="text1"/>
          <w:sz w:val="32"/>
          <w:szCs w:val="28"/>
        </w:rPr>
        <w:t>组织方案</w:t>
      </w:r>
    </w:p>
    <w:p w14:paraId="5FF2F20B" w14:textId="77777777" w:rsidR="00365F8D" w:rsidRDefault="00365F8D" w:rsidP="00365F8D">
      <w:pPr>
        <w:spacing w:line="360" w:lineRule="auto"/>
        <w:rPr>
          <w:rFonts w:ascii="黑体" w:eastAsia="黑体" w:hAnsi="黑体"/>
          <w:b/>
          <w:bCs/>
          <w:color w:val="000000"/>
          <w:sz w:val="28"/>
          <w:szCs w:val="24"/>
        </w:rPr>
      </w:pPr>
    </w:p>
    <w:p w14:paraId="063C8590" w14:textId="77777777" w:rsidR="00365F8D" w:rsidRDefault="00365F8D" w:rsidP="00365F8D">
      <w:pPr>
        <w:spacing w:line="360" w:lineRule="auto"/>
        <w:rPr>
          <w:rFonts w:ascii="黑体" w:eastAsia="黑体" w:hAnsi="黑体"/>
          <w:b/>
          <w:bCs/>
          <w:color w:val="000000"/>
          <w:sz w:val="28"/>
          <w:szCs w:val="24"/>
        </w:rPr>
      </w:pPr>
      <w:r>
        <w:rPr>
          <w:rFonts w:ascii="黑体" w:eastAsia="黑体" w:hAnsi="黑体" w:hint="eastAsia"/>
          <w:b/>
          <w:bCs/>
          <w:color w:val="000000"/>
          <w:sz w:val="28"/>
          <w:szCs w:val="24"/>
        </w:rPr>
        <w:t>一、竞赛分组及要求</w:t>
      </w:r>
    </w:p>
    <w:p w14:paraId="5ADCA6F3" w14:textId="77777777" w:rsidR="00365F8D" w:rsidRDefault="00365F8D" w:rsidP="00365F8D">
      <w:pPr>
        <w:spacing w:line="360" w:lineRule="auto"/>
        <w:ind w:firstLineChars="200" w:firstLine="560"/>
        <w:rPr>
          <w:rFonts w:ascii="Times New Roman" w:hAnsi="Times New Roman"/>
          <w:color w:val="000000"/>
          <w:sz w:val="24"/>
        </w:rPr>
      </w:pPr>
      <w:r>
        <w:rPr>
          <w:rFonts w:ascii="Times New Roman" w:hAnsi="Times New Roman" w:hint="eastAsia"/>
          <w:color w:val="000000"/>
          <w:sz w:val="28"/>
          <w:szCs w:val="24"/>
        </w:rPr>
        <w:t>（</w:t>
      </w:r>
      <w:r>
        <w:rPr>
          <w:rFonts w:ascii="Times New Roman" w:hAnsi="Times New Roman"/>
          <w:color w:val="000000"/>
          <w:sz w:val="28"/>
          <w:szCs w:val="24"/>
        </w:rPr>
        <w:t>1</w:t>
      </w:r>
      <w:r>
        <w:rPr>
          <w:rFonts w:ascii="Times New Roman" w:hAnsi="Times New Roman" w:hint="eastAsia"/>
          <w:color w:val="000000"/>
          <w:sz w:val="28"/>
          <w:szCs w:val="24"/>
        </w:rPr>
        <w:t>）竞赛分组</w:t>
      </w:r>
    </w:p>
    <w:p w14:paraId="5DFD969C" w14:textId="77777777" w:rsidR="00365F8D" w:rsidRDefault="00365F8D" w:rsidP="00365F8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交通基础设施组，包括：道路、桥梁、岩土、港航、机场、轨道等交通基础设施相关竞赛类；</w:t>
      </w:r>
    </w:p>
    <w:p w14:paraId="6487D2CF" w14:textId="77777777" w:rsidR="00365F8D" w:rsidRDefault="00365F8D" w:rsidP="00365F8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交通工程系统组，包括：交通规划与管理、交通运输、交通信息工程及控制、载运工具、智能网联交通、测绘等相关竞赛类。</w:t>
      </w:r>
    </w:p>
    <w:p w14:paraId="49AF3DDE" w14:textId="77777777" w:rsidR="00365F8D" w:rsidRDefault="00365F8D" w:rsidP="00365F8D">
      <w:pPr>
        <w:spacing w:line="360" w:lineRule="auto"/>
        <w:ind w:firstLineChars="200" w:firstLine="560"/>
        <w:rPr>
          <w:rFonts w:ascii="Times New Roman" w:hAnsi="Times New Roman"/>
          <w:color w:val="000000"/>
          <w:sz w:val="24"/>
        </w:rPr>
      </w:pPr>
      <w:r>
        <w:rPr>
          <w:rFonts w:ascii="Times New Roman" w:hAnsi="Times New Roman" w:hint="eastAsia"/>
          <w:color w:val="000000"/>
          <w:sz w:val="28"/>
          <w:szCs w:val="24"/>
        </w:rPr>
        <w:t>（</w:t>
      </w:r>
      <w:r>
        <w:rPr>
          <w:rFonts w:ascii="Times New Roman" w:hAnsi="Times New Roman"/>
          <w:color w:val="000000"/>
          <w:sz w:val="28"/>
          <w:szCs w:val="24"/>
        </w:rPr>
        <w:t>2</w:t>
      </w:r>
      <w:r>
        <w:rPr>
          <w:rFonts w:ascii="Times New Roman" w:hAnsi="Times New Roman" w:hint="eastAsia"/>
          <w:color w:val="000000"/>
          <w:sz w:val="28"/>
          <w:szCs w:val="24"/>
        </w:rPr>
        <w:t>）作品要求</w:t>
      </w:r>
    </w:p>
    <w:p w14:paraId="62E5525A" w14:textId="77777777" w:rsidR="00365F8D" w:rsidRDefault="00365F8D" w:rsidP="00365F8D">
      <w:pPr>
        <w:spacing w:line="360" w:lineRule="auto"/>
        <w:ind w:firstLineChars="200" w:firstLine="560"/>
        <w:rPr>
          <w:rFonts w:ascii="Times New Roman" w:hAnsi="Times New Roman"/>
          <w:color w:val="000000"/>
          <w:sz w:val="24"/>
        </w:rPr>
      </w:pPr>
      <w:r>
        <w:rPr>
          <w:rFonts w:ascii="Times New Roman" w:hAnsi="Times New Roman" w:hint="eastAsia"/>
          <w:color w:val="000000"/>
          <w:sz w:val="28"/>
          <w:szCs w:val="24"/>
        </w:rPr>
        <w:t>所有参赛作品应为参赛者自主完成的原创性作品，参赛者及指导教师须对作品的自主知识产权及其原创性做出承诺。如果作品部分内容参加过其他赛事，应如实解释说明。</w:t>
      </w:r>
    </w:p>
    <w:p w14:paraId="12952555" w14:textId="77777777" w:rsidR="00365F8D" w:rsidRDefault="00365F8D" w:rsidP="00365F8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参赛作品应围绕大赛</w:t>
      </w:r>
      <w:r>
        <w:rPr>
          <w:rFonts w:ascii="Times New Roman" w:hAnsi="Times New Roman"/>
          <w:color w:val="000000"/>
          <w:sz w:val="28"/>
          <w:szCs w:val="24"/>
        </w:rPr>
        <w:t>“</w:t>
      </w:r>
      <w:r>
        <w:rPr>
          <w:rFonts w:ascii="Times New Roman" w:hAnsi="Times New Roman" w:hint="eastAsia"/>
          <w:color w:val="000000"/>
          <w:sz w:val="28"/>
          <w:szCs w:val="24"/>
        </w:rPr>
        <w:t>智慧交通，低碳发展</w:t>
      </w:r>
      <w:r>
        <w:rPr>
          <w:rFonts w:ascii="Times New Roman" w:hAnsi="Times New Roman"/>
          <w:color w:val="000000"/>
          <w:sz w:val="28"/>
          <w:szCs w:val="24"/>
        </w:rPr>
        <w:t>”</w:t>
      </w:r>
      <w:r>
        <w:rPr>
          <w:rFonts w:ascii="Times New Roman" w:hAnsi="Times New Roman" w:hint="eastAsia"/>
          <w:color w:val="000000"/>
          <w:sz w:val="28"/>
          <w:szCs w:val="24"/>
        </w:rPr>
        <w:t>主题，针对交通运输系统出现的具体问题，运用相关专业知识，提出具有新颖性、可行性、实用价值、具备完成度及一定难度的优化方法或解决方案。作品可以是实物模型、研究报告、设计图纸和计算机软件等多元化形式。鼓励脚踏实地和实质性创新的作品。</w:t>
      </w:r>
    </w:p>
    <w:p w14:paraId="7EC5F129" w14:textId="77777777" w:rsidR="00365F8D" w:rsidRDefault="00365F8D" w:rsidP="00365F8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作品申报类别应符合作品实际内涵，最终以评审专家意见为准。</w:t>
      </w:r>
    </w:p>
    <w:p w14:paraId="0AC1B672" w14:textId="77777777" w:rsidR="00365F8D" w:rsidRDefault="00365F8D" w:rsidP="00365F8D">
      <w:pPr>
        <w:spacing w:line="360" w:lineRule="auto"/>
        <w:rPr>
          <w:rFonts w:ascii="黑体" w:eastAsia="黑体" w:hAnsi="黑体"/>
          <w:b/>
          <w:bCs/>
          <w:color w:val="000000"/>
          <w:sz w:val="28"/>
          <w:szCs w:val="24"/>
        </w:rPr>
      </w:pPr>
      <w:r>
        <w:rPr>
          <w:rFonts w:ascii="黑体" w:eastAsia="黑体" w:hAnsi="黑体" w:hint="eastAsia"/>
          <w:b/>
          <w:bCs/>
          <w:color w:val="000000"/>
          <w:sz w:val="28"/>
          <w:szCs w:val="24"/>
        </w:rPr>
        <w:t>二、参赛资格审查及初审要求</w:t>
      </w:r>
    </w:p>
    <w:p w14:paraId="4480F354" w14:textId="77777777" w:rsidR="00365F8D" w:rsidRDefault="00365F8D" w:rsidP="00365F8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w:t>
      </w:r>
      <w:r>
        <w:rPr>
          <w:rFonts w:ascii="Times New Roman" w:hAnsi="Times New Roman"/>
          <w:color w:val="000000"/>
          <w:sz w:val="28"/>
          <w:szCs w:val="24"/>
        </w:rPr>
        <w:t>1</w:t>
      </w:r>
      <w:r>
        <w:rPr>
          <w:rFonts w:ascii="Times New Roman" w:hAnsi="Times New Roman" w:hint="eastAsia"/>
          <w:color w:val="000000"/>
          <w:sz w:val="28"/>
          <w:szCs w:val="24"/>
        </w:rPr>
        <w:t>）参赛者自主组队报名，原则上每队参赛队员</w:t>
      </w:r>
      <w:r>
        <w:rPr>
          <w:rFonts w:ascii="Times New Roman" w:hAnsi="Times New Roman"/>
          <w:color w:val="000000"/>
          <w:sz w:val="28"/>
          <w:szCs w:val="24"/>
        </w:rPr>
        <w:t>3-5</w:t>
      </w:r>
      <w:r>
        <w:rPr>
          <w:rFonts w:ascii="Times New Roman" w:hAnsi="Times New Roman" w:hint="eastAsia"/>
          <w:color w:val="000000"/>
          <w:sz w:val="28"/>
          <w:szCs w:val="24"/>
        </w:rPr>
        <w:t>名，指导老师不超过</w:t>
      </w:r>
      <w:r>
        <w:rPr>
          <w:rFonts w:ascii="Times New Roman" w:hAnsi="Times New Roman"/>
          <w:color w:val="000000"/>
          <w:sz w:val="28"/>
          <w:szCs w:val="24"/>
        </w:rPr>
        <w:t>2</w:t>
      </w:r>
      <w:r>
        <w:rPr>
          <w:rFonts w:ascii="Times New Roman" w:hAnsi="Times New Roman" w:hint="eastAsia"/>
          <w:color w:val="000000"/>
          <w:sz w:val="28"/>
          <w:szCs w:val="24"/>
        </w:rPr>
        <w:t>人。</w:t>
      </w:r>
    </w:p>
    <w:p w14:paraId="2203B509" w14:textId="77777777" w:rsidR="00365F8D" w:rsidRDefault="00365F8D" w:rsidP="00365F8D">
      <w:pPr>
        <w:spacing w:line="360" w:lineRule="auto"/>
        <w:ind w:firstLineChars="200" w:firstLine="560"/>
        <w:rPr>
          <w:rFonts w:ascii="Times New Roman" w:hAnsi="Times New Roman"/>
          <w:color w:val="000000"/>
          <w:sz w:val="24"/>
        </w:rPr>
      </w:pPr>
      <w:r>
        <w:rPr>
          <w:rFonts w:ascii="Times New Roman" w:hAnsi="Times New Roman" w:hint="eastAsia"/>
          <w:color w:val="000000"/>
          <w:sz w:val="28"/>
          <w:szCs w:val="24"/>
        </w:rPr>
        <w:lastRenderedPageBreak/>
        <w:t>（</w:t>
      </w:r>
      <w:r>
        <w:rPr>
          <w:rFonts w:ascii="Times New Roman" w:hAnsi="Times New Roman"/>
          <w:color w:val="000000"/>
          <w:sz w:val="28"/>
          <w:szCs w:val="24"/>
        </w:rPr>
        <w:t>2</w:t>
      </w:r>
      <w:r>
        <w:rPr>
          <w:rFonts w:ascii="Times New Roman" w:hAnsi="Times New Roman" w:hint="eastAsia"/>
          <w:color w:val="000000"/>
          <w:sz w:val="28"/>
          <w:szCs w:val="24"/>
        </w:rPr>
        <w:t>）参赛作品选题须符合大赛主题，符合提交的竞赛类对作品的内涵要求。</w:t>
      </w:r>
    </w:p>
    <w:p w14:paraId="0344D3BE" w14:textId="77777777" w:rsidR="00365F8D" w:rsidRDefault="00365F8D" w:rsidP="00365F8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w:t>
      </w:r>
      <w:r>
        <w:rPr>
          <w:rFonts w:ascii="Times New Roman" w:hAnsi="Times New Roman"/>
          <w:color w:val="000000"/>
          <w:sz w:val="28"/>
          <w:szCs w:val="24"/>
        </w:rPr>
        <w:t>3</w:t>
      </w:r>
      <w:r>
        <w:rPr>
          <w:rFonts w:ascii="Times New Roman" w:hAnsi="Times New Roman" w:hint="eastAsia"/>
          <w:color w:val="000000"/>
          <w:sz w:val="28"/>
          <w:szCs w:val="24"/>
        </w:rPr>
        <w:t>）参赛学生必须使用合法、合</w:t>
      </w:r>
      <w:proofErr w:type="gramStart"/>
      <w:r>
        <w:rPr>
          <w:rFonts w:ascii="Times New Roman" w:hAnsi="Times New Roman" w:hint="eastAsia"/>
          <w:color w:val="000000"/>
          <w:sz w:val="28"/>
          <w:szCs w:val="24"/>
        </w:rPr>
        <w:t>规</w:t>
      </w:r>
      <w:proofErr w:type="gramEnd"/>
      <w:r>
        <w:rPr>
          <w:rFonts w:ascii="Times New Roman" w:hAnsi="Times New Roman" w:hint="eastAsia"/>
          <w:color w:val="000000"/>
          <w:sz w:val="28"/>
          <w:szCs w:val="24"/>
        </w:rPr>
        <w:t>软件开展设计、计算。技术方案的雷同、抄袭和知识产权纠纷等，参赛选手自行负责。</w:t>
      </w:r>
    </w:p>
    <w:p w14:paraId="027BDFB7" w14:textId="77777777" w:rsidR="00365F8D" w:rsidRDefault="00365F8D" w:rsidP="00365F8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w:t>
      </w:r>
      <w:r>
        <w:rPr>
          <w:rFonts w:ascii="Times New Roman" w:hAnsi="Times New Roman"/>
          <w:color w:val="000000"/>
          <w:sz w:val="28"/>
          <w:szCs w:val="24"/>
        </w:rPr>
        <w:t>4</w:t>
      </w:r>
      <w:r>
        <w:rPr>
          <w:rFonts w:ascii="Times New Roman" w:hAnsi="Times New Roman" w:hint="eastAsia"/>
          <w:color w:val="000000"/>
          <w:sz w:val="28"/>
          <w:szCs w:val="24"/>
        </w:rPr>
        <w:t>）参赛作品一经提交，不予返还，请作者自留底稿。</w:t>
      </w:r>
    </w:p>
    <w:p w14:paraId="65423218" w14:textId="77777777" w:rsidR="00365F8D" w:rsidRDefault="00365F8D" w:rsidP="00365F8D">
      <w:pPr>
        <w:spacing w:line="360" w:lineRule="auto"/>
        <w:rPr>
          <w:rFonts w:ascii="黑体" w:eastAsia="黑体" w:hAnsi="黑体"/>
          <w:b/>
          <w:bCs/>
          <w:color w:val="000000"/>
          <w:sz w:val="28"/>
          <w:szCs w:val="24"/>
        </w:rPr>
      </w:pPr>
      <w:r>
        <w:rPr>
          <w:rFonts w:ascii="黑体" w:eastAsia="黑体" w:hAnsi="黑体" w:hint="eastAsia"/>
          <w:b/>
          <w:bCs/>
          <w:color w:val="000000"/>
          <w:sz w:val="28"/>
          <w:szCs w:val="24"/>
        </w:rPr>
        <w:t>三、决赛形式及要求</w:t>
      </w:r>
    </w:p>
    <w:p w14:paraId="37889F8D" w14:textId="77777777" w:rsidR="00365F8D" w:rsidRDefault="00365F8D" w:rsidP="00365F8D">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决赛将在东南大学九龙湖校区采取线下答辩模式开展，各入围决赛的参赛团队事先制作好幻灯片和必要的辅助展示材料参加答辩，答辩主要分为以下两个环节：</w:t>
      </w:r>
    </w:p>
    <w:p w14:paraId="0F5DB872" w14:textId="77777777" w:rsidR="00365F8D" w:rsidRDefault="00365F8D" w:rsidP="00365F8D">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第一环节：参赛团队代表向评委介绍和展示作品，要求突出作品重点内容、技术路线和创新之处，并有较高的展示度。</w:t>
      </w:r>
    </w:p>
    <w:p w14:paraId="1979A730" w14:textId="77777777" w:rsidR="00365F8D" w:rsidRDefault="00365F8D" w:rsidP="00365F8D">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第二环节：参赛团队回答专家和评委的质询。</w:t>
      </w:r>
    </w:p>
    <w:p w14:paraId="6B0F91A2" w14:textId="77777777" w:rsidR="00365F8D" w:rsidRDefault="00365F8D" w:rsidP="00365F8D">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评委将从作品原创性（自主命题、独立思维）、作品创新性、作品难度、作品完成度、作品实用性、回答提问情况及现场综合表现等维度对各参赛队伍及作品进行评价打分。</w:t>
      </w:r>
    </w:p>
    <w:p w14:paraId="4F52F2B4" w14:textId="77777777" w:rsidR="00365F8D" w:rsidRDefault="00365F8D" w:rsidP="00365F8D">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现场答辩的具体赛程及时间安排将在初审后，通过邮件及东南大学交通学院网站通知发布。</w:t>
      </w:r>
    </w:p>
    <w:p w14:paraId="3C35D129" w14:textId="77777777" w:rsidR="00365F8D" w:rsidRDefault="00365F8D" w:rsidP="00365F8D">
      <w:pPr>
        <w:spacing w:line="360" w:lineRule="auto"/>
        <w:rPr>
          <w:rFonts w:ascii="黑体" w:eastAsia="黑体" w:hAnsi="黑体"/>
          <w:b/>
          <w:bCs/>
          <w:color w:val="000000"/>
          <w:sz w:val="28"/>
          <w:szCs w:val="24"/>
        </w:rPr>
      </w:pPr>
      <w:r>
        <w:rPr>
          <w:rFonts w:ascii="黑体" w:eastAsia="黑体" w:hAnsi="黑体" w:hint="eastAsia"/>
          <w:b/>
          <w:bCs/>
          <w:color w:val="000000"/>
          <w:sz w:val="28"/>
          <w:szCs w:val="24"/>
        </w:rPr>
        <w:t>四、奖项设置</w:t>
      </w:r>
    </w:p>
    <w:p w14:paraId="46B6C274" w14:textId="0E7C295B" w:rsidR="00365F8D" w:rsidRPr="00365F8D" w:rsidRDefault="00365F8D" w:rsidP="00365F8D">
      <w:pPr>
        <w:ind w:firstLineChars="200" w:firstLine="560"/>
        <w:rPr>
          <w:rFonts w:ascii="Times New Roman" w:hAnsi="Times New Roman" w:hint="eastAsia"/>
          <w:color w:val="000000" w:themeColor="text1"/>
          <w:sz w:val="28"/>
          <w:szCs w:val="28"/>
        </w:rPr>
      </w:pPr>
      <w:r>
        <w:rPr>
          <w:rFonts w:ascii="Times New Roman" w:hAnsi="Times New Roman" w:hint="eastAsia"/>
          <w:color w:val="000000"/>
          <w:sz w:val="28"/>
          <w:szCs w:val="28"/>
        </w:rPr>
        <w:t>大赛设一等奖、二等奖、三等奖和优秀作品奖，分两个组别各自评奖。每组成绩排名前</w:t>
      </w:r>
      <w:r>
        <w:rPr>
          <w:rFonts w:ascii="Times New Roman" w:hAnsi="Times New Roman" w:hint="eastAsia"/>
          <w:color w:val="000000"/>
          <w:sz w:val="28"/>
          <w:szCs w:val="28"/>
        </w:rPr>
        <w:t>10%</w:t>
      </w:r>
      <w:r>
        <w:rPr>
          <w:rFonts w:ascii="Times New Roman" w:hAnsi="Times New Roman" w:hint="eastAsia"/>
          <w:color w:val="000000"/>
          <w:sz w:val="28"/>
          <w:szCs w:val="28"/>
        </w:rPr>
        <w:t>获一等奖，</w:t>
      </w:r>
      <w:r>
        <w:rPr>
          <w:rFonts w:ascii="Times New Roman" w:hAnsi="Times New Roman" w:hint="eastAsia"/>
          <w:color w:val="000000"/>
          <w:sz w:val="28"/>
          <w:szCs w:val="28"/>
        </w:rPr>
        <w:t>10%-30%</w:t>
      </w:r>
      <w:r>
        <w:rPr>
          <w:rFonts w:ascii="Times New Roman" w:hAnsi="Times New Roman" w:hint="eastAsia"/>
          <w:color w:val="000000"/>
          <w:sz w:val="28"/>
          <w:szCs w:val="28"/>
        </w:rPr>
        <w:t>获二等奖，</w:t>
      </w:r>
      <w:r>
        <w:rPr>
          <w:rFonts w:ascii="Times New Roman" w:hAnsi="Times New Roman" w:hint="eastAsia"/>
          <w:color w:val="000000"/>
          <w:sz w:val="28"/>
          <w:szCs w:val="28"/>
        </w:rPr>
        <w:t>30%-60%</w:t>
      </w:r>
      <w:r>
        <w:rPr>
          <w:rFonts w:ascii="Times New Roman" w:hAnsi="Times New Roman" w:hint="eastAsia"/>
          <w:color w:val="000000"/>
          <w:sz w:val="28"/>
          <w:szCs w:val="28"/>
        </w:rPr>
        <w:t>获三等奖，其余进入决赛作品获优秀作品奖。颁发由</w:t>
      </w:r>
      <w:r>
        <w:rPr>
          <w:rFonts w:ascii="Times New Roman" w:hAnsi="Times New Roman"/>
          <w:color w:val="000000"/>
          <w:sz w:val="28"/>
          <w:szCs w:val="28"/>
        </w:rPr>
        <w:t>江苏省研究生教育指导委员会</w:t>
      </w:r>
      <w:r>
        <w:rPr>
          <w:rFonts w:ascii="Times New Roman" w:hAnsi="Times New Roman" w:hint="eastAsia"/>
          <w:color w:val="000000"/>
          <w:sz w:val="28"/>
          <w:szCs w:val="28"/>
        </w:rPr>
        <w:t>盖章的获奖证书。</w:t>
      </w:r>
    </w:p>
    <w:sectPr w:rsidR="00365F8D" w:rsidRPr="00365F8D" w:rsidSect="00365F8D">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461324"/>
      <w:docPartObj>
        <w:docPartGallery w:val="Page Numbers (Bottom of Page)"/>
        <w:docPartUnique/>
      </w:docPartObj>
    </w:sdtPr>
    <w:sdtEndPr/>
    <w:sdtContent>
      <w:p w14:paraId="33E9B61E" w14:textId="77777777" w:rsidR="00365F8D" w:rsidRDefault="00365F8D">
        <w:pPr>
          <w:pStyle w:val="a5"/>
          <w:jc w:val="center"/>
        </w:pPr>
        <w:r>
          <w:fldChar w:fldCharType="begin"/>
        </w:r>
        <w:r>
          <w:instrText>PAGE   \* MERGEFORMAT</w:instrText>
        </w:r>
        <w:r>
          <w:fldChar w:fldCharType="separate"/>
        </w:r>
        <w:r>
          <w:rPr>
            <w:lang w:val="zh-CN"/>
          </w:rPr>
          <w:t>2</w:t>
        </w:r>
        <w:r>
          <w:fldChar w:fldCharType="end"/>
        </w:r>
      </w:p>
    </w:sdtContent>
  </w:sdt>
  <w:p w14:paraId="27FC5BC4" w14:textId="77777777" w:rsidR="00365F8D" w:rsidRDefault="00365F8D">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8D"/>
    <w:rsid w:val="00365F8D"/>
    <w:rsid w:val="00BD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1FD9"/>
  <w15:chartTrackingRefBased/>
  <w15:docId w15:val="{FCEF09A0-A193-460F-B14F-3F4AE270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F8D"/>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65F8D"/>
    <w:pPr>
      <w:widowControl/>
      <w:spacing w:before="100" w:beforeAutospacing="1" w:after="100" w:afterAutospacing="1"/>
      <w:jc w:val="left"/>
    </w:pPr>
    <w:rPr>
      <w:rFonts w:ascii="宋体" w:hAnsi="宋体" w:cs="宋体"/>
      <w:kern w:val="0"/>
      <w:sz w:val="24"/>
      <w:szCs w:val="24"/>
    </w:rPr>
  </w:style>
  <w:style w:type="character" w:customStyle="1" w:styleId="a4">
    <w:name w:val="页脚 字符"/>
    <w:basedOn w:val="a0"/>
    <w:link w:val="a5"/>
    <w:uiPriority w:val="99"/>
    <w:qFormat/>
    <w:locked/>
    <w:rsid w:val="00365F8D"/>
    <w:rPr>
      <w:sz w:val="18"/>
    </w:rPr>
  </w:style>
  <w:style w:type="paragraph" w:styleId="a5">
    <w:name w:val="footer"/>
    <w:basedOn w:val="a"/>
    <w:link w:val="a4"/>
    <w:uiPriority w:val="99"/>
    <w:qFormat/>
    <w:rsid w:val="00365F8D"/>
    <w:pPr>
      <w:tabs>
        <w:tab w:val="center" w:pos="4153"/>
        <w:tab w:val="right" w:pos="8306"/>
      </w:tabs>
      <w:snapToGrid w:val="0"/>
      <w:jc w:val="left"/>
    </w:pPr>
    <w:rPr>
      <w:rFonts w:asciiTheme="minorHAnsi" w:eastAsiaTheme="minorEastAsia" w:hAnsiTheme="minorHAnsi" w:cstheme="minorBidi"/>
      <w:sz w:val="18"/>
      <w14:ligatures w14:val="standardContextual"/>
    </w:rPr>
  </w:style>
  <w:style w:type="character" w:customStyle="1" w:styleId="1">
    <w:name w:val="页脚 字符1"/>
    <w:basedOn w:val="a0"/>
    <w:uiPriority w:val="99"/>
    <w:semiHidden/>
    <w:rsid w:val="00365F8D"/>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812</Characters>
  <Application>Microsoft Office Word</Application>
  <DocSecurity>0</DocSecurity>
  <Lines>6</Lines>
  <Paragraphs>1</Paragraphs>
  <ScaleCrop>false</ScaleCrop>
  <Company>HP</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Yajing Zhu</dc:creator>
  <cp:keywords/>
  <dc:description/>
  <cp:lastModifiedBy>Yajing Zhu</cp:lastModifiedBy>
  <cp:revision>1</cp:revision>
  <dcterms:created xsi:type="dcterms:W3CDTF">2024-07-13T02:37:00Z</dcterms:created>
  <dcterms:modified xsi:type="dcterms:W3CDTF">2024-07-13T02:38:00Z</dcterms:modified>
</cp:coreProperties>
</file>