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118" w:rsidRDefault="00A16C50">
      <w:pPr>
        <w:pStyle w:val="ChineseTitle"/>
        <w:spacing w:before="936" w:after="468"/>
        <w:rPr>
          <w:rFonts w:hAnsi="黑体" w:cs="黑体"/>
          <w:sz w:val="32"/>
          <w:szCs w:val="32"/>
        </w:rPr>
      </w:pPr>
      <w:r>
        <w:rPr>
          <w:rFonts w:hAnsi="黑体" w:cs="黑体" w:hint="eastAsia"/>
          <w:sz w:val="32"/>
          <w:szCs w:val="32"/>
        </w:rPr>
        <w:t>南京四桥主桥运营期结构风险评估及对策研究</w:t>
      </w:r>
    </w:p>
    <w:p w:rsidR="00EC1118" w:rsidRDefault="00355584">
      <w:pPr>
        <w:pStyle w:val="CAuthor"/>
        <w:spacing w:before="156" w:after="156"/>
        <w:rPr>
          <w:rFonts w:ascii="楷体" w:eastAsia="楷体" w:hAnsi="楷体" w:cs="楷体"/>
          <w:sz w:val="30"/>
          <w:szCs w:val="30"/>
        </w:rPr>
      </w:pPr>
      <w:r>
        <w:rPr>
          <w:rFonts w:ascii="楷体" w:eastAsia="楷体" w:hAnsi="楷体" w:cs="楷体" w:hint="eastAsia"/>
          <w:sz w:val="30"/>
          <w:szCs w:val="30"/>
        </w:rPr>
        <w:t>作者姓名</w:t>
      </w:r>
      <w:r>
        <w:rPr>
          <w:rStyle w:val="a8"/>
          <w:rFonts w:ascii="楷体" w:eastAsia="楷体" w:hAnsi="楷体" w:cs="楷体"/>
          <w:sz w:val="30"/>
          <w:szCs w:val="30"/>
        </w:rPr>
        <w:footnoteReference w:id="2"/>
      </w:r>
      <w:r w:rsidR="00A16C50">
        <w:rPr>
          <w:rFonts w:ascii="楷体" w:eastAsia="楷体" w:hAnsi="楷体" w:cs="楷体" w:hint="eastAsia"/>
          <w:sz w:val="30"/>
          <w:szCs w:val="30"/>
        </w:rPr>
        <w:t>，</w:t>
      </w:r>
      <w:r>
        <w:rPr>
          <w:rFonts w:ascii="楷体" w:eastAsia="楷体" w:hAnsi="楷体" w:cs="楷体" w:hint="eastAsia"/>
          <w:sz w:val="30"/>
          <w:szCs w:val="30"/>
        </w:rPr>
        <w:t>作者姓名</w:t>
      </w:r>
      <w:r>
        <w:rPr>
          <w:rStyle w:val="a8"/>
          <w:rFonts w:ascii="楷体" w:eastAsia="楷体" w:hAnsi="楷体" w:cs="楷体"/>
          <w:sz w:val="30"/>
          <w:szCs w:val="30"/>
        </w:rPr>
        <w:footnoteReference w:id="3"/>
      </w:r>
    </w:p>
    <w:p w:rsidR="00EC1118" w:rsidRDefault="00355584" w:rsidP="00355584">
      <w:pPr>
        <w:pStyle w:val="CAbstract"/>
        <w:numPr>
          <w:ilvl w:val="0"/>
          <w:numId w:val="0"/>
        </w:numPr>
        <w:spacing w:before="156" w:after="156"/>
        <w:ind w:left="420"/>
        <w:rPr>
          <w:rFonts w:ascii="楷体" w:eastAsia="楷体" w:hAnsi="楷体" w:cs="楷体"/>
          <w:sz w:val="21"/>
          <w:szCs w:val="21"/>
        </w:rPr>
      </w:pPr>
      <w:r w:rsidRPr="00355584">
        <w:rPr>
          <w:rFonts w:ascii="楷体" w:eastAsia="楷体" w:hAnsi="楷体" w:cs="楷体" w:hint="eastAsia"/>
          <w:b/>
          <w:sz w:val="21"/>
          <w:szCs w:val="21"/>
        </w:rPr>
        <w:t>摘要：</w:t>
      </w:r>
      <w:r w:rsidR="00A16C50">
        <w:rPr>
          <w:rFonts w:ascii="楷体" w:eastAsia="楷体" w:hAnsi="楷体" w:cs="楷体" w:hint="eastAsia"/>
          <w:sz w:val="21"/>
          <w:szCs w:val="21"/>
        </w:rPr>
        <w:t>按照结构解析、风险源辨识、风险估测和风险评价的流程，进行南京长江四桥主桥运营期的风险评估。根据风险评估成果，对主要结构的主要风险事件提出了包括检查/检测、监测和应急计划在内的风险管理对策和养护规划建议，为开展大桥的养护管理工作提供参考。</w:t>
      </w:r>
    </w:p>
    <w:p w:rsidR="00EC1118" w:rsidRDefault="00355584" w:rsidP="00355584">
      <w:pPr>
        <w:pStyle w:val="CKeyWords"/>
        <w:numPr>
          <w:ilvl w:val="0"/>
          <w:numId w:val="0"/>
        </w:numPr>
        <w:spacing w:before="156" w:after="156"/>
        <w:ind w:left="840" w:hanging="420"/>
        <w:rPr>
          <w:rFonts w:ascii="楷体" w:eastAsia="楷体" w:hAnsi="楷体" w:cs="楷体"/>
          <w:kern w:val="0"/>
          <w:sz w:val="21"/>
          <w:szCs w:val="21"/>
        </w:rPr>
      </w:pPr>
      <w:r w:rsidRPr="00355584">
        <w:rPr>
          <w:rFonts w:ascii="楷体" w:eastAsia="楷体" w:hAnsi="楷体" w:cs="楷体" w:hint="eastAsia"/>
          <w:b/>
          <w:kern w:val="0"/>
          <w:sz w:val="21"/>
          <w:szCs w:val="21"/>
        </w:rPr>
        <w:t>关键词：</w:t>
      </w:r>
      <w:r w:rsidR="00A16C50">
        <w:rPr>
          <w:rFonts w:ascii="楷体" w:eastAsia="楷体" w:hAnsi="楷体" w:cs="楷体" w:hint="eastAsia"/>
          <w:kern w:val="0"/>
          <w:sz w:val="21"/>
          <w:szCs w:val="21"/>
        </w:rPr>
        <w:t>桥梁工程；风险评估；运营期</w:t>
      </w:r>
    </w:p>
    <w:p w:rsidR="00EC1118" w:rsidRDefault="00A16C50">
      <w:pPr>
        <w:pStyle w:val="EnglishTitle"/>
        <w:spacing w:before="780" w:after="156"/>
        <w:rPr>
          <w:rFonts w:ascii="Times New Roman" w:hAnsi="Times New Roman" w:cs="Times New Roman"/>
          <w:b/>
          <w:bCs/>
          <w:color w:val="000000"/>
          <w:kern w:val="36"/>
          <w:sz w:val="24"/>
          <w:highlight w:val="red"/>
        </w:rPr>
      </w:pPr>
      <w:r>
        <w:rPr>
          <w:rFonts w:ascii="Times New Roman" w:hAnsi="Times New Roman" w:cs="Times New Roman" w:hint="eastAsia"/>
          <w:b/>
          <w:bCs/>
          <w:color w:val="000000"/>
          <w:kern w:val="36"/>
          <w:sz w:val="24"/>
        </w:rPr>
        <w:t xml:space="preserve">Research on the </w:t>
      </w:r>
      <w:r>
        <w:rPr>
          <w:rFonts w:ascii="Times New Roman" w:hAnsi="Times New Roman" w:cs="Times New Roman"/>
          <w:b/>
          <w:bCs/>
          <w:color w:val="000000"/>
          <w:kern w:val="36"/>
          <w:sz w:val="24"/>
        </w:rPr>
        <w:t xml:space="preserve">Risk Assessment </w:t>
      </w:r>
      <w:r>
        <w:rPr>
          <w:rFonts w:ascii="Times New Roman" w:hAnsi="Times New Roman" w:cs="Times New Roman" w:hint="eastAsia"/>
          <w:b/>
          <w:bCs/>
          <w:color w:val="000000"/>
          <w:kern w:val="36"/>
          <w:sz w:val="24"/>
        </w:rPr>
        <w:t xml:space="preserve">and Counter Measures </w:t>
      </w:r>
      <w:r>
        <w:rPr>
          <w:rFonts w:ascii="Times New Roman" w:hAnsi="Times New Roman" w:cs="Times New Roman"/>
          <w:b/>
          <w:bCs/>
          <w:color w:val="000000"/>
          <w:kern w:val="36"/>
          <w:sz w:val="24"/>
        </w:rPr>
        <w:t>of NANJING No.4 Yangtze River Bridge</w:t>
      </w:r>
      <w:r>
        <w:rPr>
          <w:rFonts w:ascii="Times New Roman" w:hAnsi="Times New Roman" w:cs="Times New Roman" w:hint="eastAsia"/>
          <w:b/>
          <w:bCs/>
          <w:color w:val="000000"/>
          <w:kern w:val="36"/>
          <w:sz w:val="24"/>
        </w:rPr>
        <w:t xml:space="preserve"> in Operation period</w:t>
      </w:r>
    </w:p>
    <w:p w:rsidR="00EC1118" w:rsidRPr="00355584" w:rsidRDefault="00355584" w:rsidP="00355584">
      <w:pPr>
        <w:jc w:val="center"/>
        <w:rPr>
          <w:rFonts w:ascii="Times New Roman" w:hAnsi="Times New Roman"/>
          <w:sz w:val="28"/>
        </w:rPr>
      </w:pPr>
      <w:r>
        <w:rPr>
          <w:rFonts w:ascii="Times New Roman" w:hAnsi="Times New Roman" w:hint="eastAsia"/>
          <w:i/>
          <w:sz w:val="24"/>
        </w:rPr>
        <w:t>NAME</w:t>
      </w:r>
      <w:r w:rsidR="00A16C50">
        <w:rPr>
          <w:rFonts w:ascii="Times New Roman" w:hAnsi="Times New Roman" w:hint="eastAsia"/>
          <w:sz w:val="24"/>
          <w:vertAlign w:val="superscript"/>
        </w:rPr>
        <w:t>1</w:t>
      </w:r>
      <w:r w:rsidR="00A16C50">
        <w:rPr>
          <w:rFonts w:ascii="Times New Roman" w:hAnsi="Times New Roman" w:hint="eastAsia"/>
          <w:sz w:val="24"/>
        </w:rPr>
        <w:t xml:space="preserve">, </w:t>
      </w:r>
      <w:r>
        <w:rPr>
          <w:rFonts w:ascii="Times New Roman" w:hAnsi="Times New Roman" w:hint="eastAsia"/>
          <w:i/>
          <w:sz w:val="24"/>
        </w:rPr>
        <w:t>NAME</w:t>
      </w:r>
      <w:r w:rsidR="00A16C50">
        <w:rPr>
          <w:rFonts w:ascii="Times New Roman" w:hAnsi="Times New Roman" w:hint="eastAsia"/>
          <w:sz w:val="24"/>
          <w:vertAlign w:val="superscript"/>
        </w:rPr>
        <w:t>2</w:t>
      </w:r>
    </w:p>
    <w:p w:rsidR="00EC1118" w:rsidRDefault="00355584" w:rsidP="00355584">
      <w:pPr>
        <w:pStyle w:val="Abstract"/>
        <w:numPr>
          <w:ilvl w:val="0"/>
          <w:numId w:val="0"/>
        </w:numPr>
        <w:spacing w:before="156" w:after="156"/>
        <w:ind w:left="360"/>
        <w:rPr>
          <w:rFonts w:cs="Times New Roman"/>
          <w:sz w:val="21"/>
          <w:szCs w:val="21"/>
        </w:rPr>
      </w:pPr>
      <w:r w:rsidRPr="00355584">
        <w:rPr>
          <w:rFonts w:cs="Times New Roman" w:hint="eastAsia"/>
          <w:b/>
          <w:sz w:val="21"/>
          <w:szCs w:val="21"/>
        </w:rPr>
        <w:t>Abstract</w:t>
      </w:r>
      <w:r>
        <w:rPr>
          <w:rFonts w:cs="Times New Roman" w:hint="eastAsia"/>
          <w:b/>
          <w:sz w:val="21"/>
          <w:szCs w:val="21"/>
        </w:rPr>
        <w:t xml:space="preserve">: </w:t>
      </w:r>
      <w:r w:rsidR="00A16C50">
        <w:rPr>
          <w:rFonts w:cs="Times New Roman"/>
          <w:sz w:val="21"/>
          <w:szCs w:val="21"/>
        </w:rPr>
        <w:t xml:space="preserve">In accordance with the structure analysis, risk resource identification, risk estimation and risk evaluation, the risk assessment is carried on the main bridge of NANJING No.4 Yangtze River Bridge. According to the result of the risk assessment, counter measures and </w:t>
      </w:r>
      <w:r w:rsidR="00A16C50">
        <w:rPr>
          <w:rStyle w:val="hps"/>
          <w:rFonts w:cs="Times New Roman" w:hint="eastAsia"/>
          <w:color w:val="222222"/>
          <w:sz w:val="21"/>
          <w:szCs w:val="21"/>
        </w:rPr>
        <w:t>m</w:t>
      </w:r>
      <w:r w:rsidR="00A16C50">
        <w:rPr>
          <w:rStyle w:val="hps"/>
          <w:rFonts w:cs="Times New Roman"/>
          <w:color w:val="222222"/>
          <w:sz w:val="21"/>
          <w:szCs w:val="21"/>
        </w:rPr>
        <w:t>aintenance plans</w:t>
      </w:r>
      <w:r w:rsidR="00A16C50">
        <w:rPr>
          <w:rFonts w:cs="Times New Roman"/>
          <w:sz w:val="21"/>
          <w:szCs w:val="21"/>
        </w:rPr>
        <w:t xml:space="preserve"> are proposed for the </w:t>
      </w:r>
      <w:r w:rsidR="00A16C50">
        <w:rPr>
          <w:rFonts w:cs="Times New Roman" w:hint="eastAsia"/>
          <w:sz w:val="21"/>
          <w:szCs w:val="21"/>
        </w:rPr>
        <w:t>s</w:t>
      </w:r>
      <w:r w:rsidR="00A16C50">
        <w:rPr>
          <w:rFonts w:cs="Times New Roman"/>
          <w:sz w:val="21"/>
          <w:szCs w:val="21"/>
        </w:rPr>
        <w:t>tiffening girder, includ</w:t>
      </w:r>
      <w:r w:rsidR="00A16C50">
        <w:rPr>
          <w:rFonts w:cs="Times New Roman" w:hint="eastAsia"/>
          <w:sz w:val="21"/>
          <w:szCs w:val="21"/>
        </w:rPr>
        <w:t>ing</w:t>
      </w:r>
      <w:r w:rsidR="00A16C50">
        <w:rPr>
          <w:rFonts w:cs="Times New Roman"/>
          <w:sz w:val="21"/>
          <w:szCs w:val="21"/>
        </w:rPr>
        <w:t xml:space="preserve"> inspection, structure monitoring and </w:t>
      </w:r>
      <w:r w:rsidR="00A16C50">
        <w:rPr>
          <w:rStyle w:val="hps"/>
          <w:rFonts w:cs="Times New Roman"/>
          <w:color w:val="222222"/>
          <w:sz w:val="21"/>
          <w:szCs w:val="21"/>
        </w:rPr>
        <w:t>Emergency plan etc</w:t>
      </w:r>
      <w:r w:rsidR="00A16C50">
        <w:rPr>
          <w:rStyle w:val="hps"/>
          <w:rFonts w:cs="Times New Roman" w:hint="eastAsia"/>
          <w:color w:val="222222"/>
          <w:sz w:val="21"/>
          <w:szCs w:val="21"/>
        </w:rPr>
        <w:t>., which provides the reference of bridge management.</w:t>
      </w:r>
    </w:p>
    <w:p w:rsidR="00EC1118" w:rsidRDefault="00355584" w:rsidP="00355584">
      <w:pPr>
        <w:pStyle w:val="keywords"/>
        <w:numPr>
          <w:ilvl w:val="0"/>
          <w:numId w:val="0"/>
        </w:numPr>
        <w:spacing w:before="156" w:after="312"/>
        <w:ind w:leftChars="150" w:left="1072" w:hangingChars="359" w:hanging="757"/>
        <w:rPr>
          <w:sz w:val="21"/>
          <w:szCs w:val="21"/>
        </w:rPr>
      </w:pPr>
      <w:r w:rsidRPr="00355584">
        <w:rPr>
          <w:rFonts w:hint="eastAsia"/>
          <w:b/>
          <w:sz w:val="21"/>
          <w:szCs w:val="21"/>
        </w:rPr>
        <w:t>Key words:</w:t>
      </w:r>
      <w:r>
        <w:rPr>
          <w:rFonts w:hint="eastAsia"/>
          <w:b/>
          <w:sz w:val="21"/>
          <w:szCs w:val="21"/>
        </w:rPr>
        <w:t xml:space="preserve"> </w:t>
      </w:r>
      <w:r w:rsidR="00A16C50">
        <w:rPr>
          <w:sz w:val="21"/>
          <w:szCs w:val="21"/>
        </w:rPr>
        <w:t xml:space="preserve">bridge </w:t>
      </w:r>
      <w:r w:rsidR="00A16C50">
        <w:rPr>
          <w:rFonts w:hint="eastAsia"/>
          <w:sz w:val="21"/>
          <w:szCs w:val="21"/>
        </w:rPr>
        <w:t>engineering</w:t>
      </w:r>
      <w:r w:rsidR="00A16C50">
        <w:rPr>
          <w:sz w:val="21"/>
          <w:szCs w:val="21"/>
        </w:rPr>
        <w:t xml:space="preserve">; </w:t>
      </w:r>
      <w:r w:rsidR="00A16C50">
        <w:rPr>
          <w:rFonts w:hint="eastAsia"/>
          <w:sz w:val="21"/>
          <w:szCs w:val="21"/>
        </w:rPr>
        <w:t>risk assessment</w:t>
      </w:r>
      <w:r w:rsidR="00A16C50">
        <w:rPr>
          <w:sz w:val="21"/>
          <w:szCs w:val="21"/>
        </w:rPr>
        <w:t xml:space="preserve">; </w:t>
      </w:r>
      <w:r w:rsidR="00A16C50">
        <w:rPr>
          <w:rFonts w:hint="eastAsia"/>
          <w:sz w:val="21"/>
          <w:szCs w:val="21"/>
        </w:rPr>
        <w:t>operation period</w:t>
      </w:r>
    </w:p>
    <w:p w:rsidR="00EC1118" w:rsidRDefault="00A16C50" w:rsidP="003A3954">
      <w:pPr>
        <w:pStyle w:val="1"/>
        <w:numPr>
          <w:ilvl w:val="0"/>
          <w:numId w:val="0"/>
        </w:numPr>
        <w:snapToGrid w:val="0"/>
        <w:spacing w:beforeLines="50" w:afterLines="50"/>
        <w:jc w:val="center"/>
        <w:rPr>
          <w:rFonts w:ascii="黑体" w:eastAsia="黑体" w:hAnsi="黑体" w:cs="黑体"/>
          <w:szCs w:val="28"/>
        </w:rPr>
      </w:pPr>
      <w:r>
        <w:rPr>
          <w:rFonts w:ascii="黑体" w:eastAsia="黑体" w:hAnsi="黑体" w:cs="黑体" w:hint="eastAsia"/>
          <w:szCs w:val="28"/>
        </w:rPr>
        <w:t>一、引言</w:t>
      </w:r>
    </w:p>
    <w:p w:rsidR="00EC1118" w:rsidRDefault="00A16C50">
      <w:pPr>
        <w:autoSpaceDE w:val="0"/>
        <w:autoSpaceDN w:val="0"/>
        <w:adjustRightInd w:val="0"/>
        <w:snapToGrid w:val="0"/>
        <w:spacing w:line="360" w:lineRule="auto"/>
        <w:ind w:firstLineChars="200" w:firstLine="420"/>
        <w:jc w:val="left"/>
        <w:rPr>
          <w:rFonts w:ascii="宋体" w:hAnsi="宋体"/>
          <w:szCs w:val="21"/>
        </w:rPr>
      </w:pPr>
      <w:r>
        <w:rPr>
          <w:rFonts w:ascii="宋体" w:hAnsi="宋体" w:hint="eastAsia"/>
          <w:szCs w:val="21"/>
        </w:rPr>
        <w:t>交通运输部于2010年下发了“关于在初步设计阶段实行公路桥梁和隧道工程安全风险评估制度的通知”（交公路发[2010]175号），目的是“增强安全风险意识，优化工程建设方案，提高工程建设和运营安全性”。该风险评估工作在设计阶段即开展，因此更为重视建设条件、设计方案和施工技术等内容，对桥梁运营管理期的风险识别及对策研究的深度还有所欠缺。</w:t>
      </w:r>
    </w:p>
    <w:p w:rsidR="00EC1118" w:rsidRDefault="00A16C50" w:rsidP="003A3954">
      <w:pPr>
        <w:pStyle w:val="1"/>
        <w:numPr>
          <w:ilvl w:val="0"/>
          <w:numId w:val="0"/>
        </w:numPr>
        <w:snapToGrid w:val="0"/>
        <w:spacing w:beforeLines="50" w:afterLines="50"/>
        <w:jc w:val="center"/>
        <w:rPr>
          <w:rFonts w:ascii="黑体" w:eastAsia="黑体" w:hAnsi="黑体" w:cs="黑体"/>
          <w:szCs w:val="28"/>
        </w:rPr>
      </w:pPr>
      <w:r>
        <w:rPr>
          <w:rFonts w:ascii="黑体" w:eastAsia="黑体" w:hAnsi="黑体" w:cs="黑体" w:hint="eastAsia"/>
          <w:szCs w:val="28"/>
        </w:rPr>
        <w:t>二、结构概况</w:t>
      </w:r>
    </w:p>
    <w:p w:rsidR="00EC1118" w:rsidRDefault="00A16C50">
      <w:pPr>
        <w:autoSpaceDE w:val="0"/>
        <w:autoSpaceDN w:val="0"/>
        <w:adjustRightInd w:val="0"/>
        <w:snapToGrid w:val="0"/>
        <w:spacing w:line="360" w:lineRule="auto"/>
        <w:ind w:firstLineChars="200" w:firstLine="420"/>
        <w:jc w:val="left"/>
        <w:rPr>
          <w:rFonts w:ascii="宋体" w:hAnsi="宋体"/>
          <w:szCs w:val="21"/>
        </w:rPr>
      </w:pPr>
      <w:r>
        <w:rPr>
          <w:rFonts w:ascii="宋体" w:hAnsi="宋体"/>
          <w:szCs w:val="21"/>
        </w:rPr>
        <w:t>南京长江第四大桥起于六合区横梁镇以东与宁通高速公路相交处，经龙袍镇跨越长江，与对岸石埠桥连接，止于沪宁高速公路相交处的麒麟枢纽，全长28.996公里</w:t>
      </w:r>
      <w:r>
        <w:rPr>
          <w:rFonts w:ascii="宋体" w:hAnsi="宋体" w:hint="eastAsia"/>
          <w:szCs w:val="21"/>
        </w:rPr>
        <w:t>。</w:t>
      </w:r>
      <w:r>
        <w:rPr>
          <w:rFonts w:ascii="宋体" w:hAnsi="宋体"/>
          <w:szCs w:val="21"/>
        </w:rPr>
        <w:t>按双向六车道高速公路标准设计，主桥设计速度为100公里/小时，两岸接线设计速度为120公里/小时。大桥于2008年1月开工，2012年12月建成通车</w:t>
      </w:r>
      <w:r>
        <w:rPr>
          <w:rFonts w:ascii="宋体" w:hAnsi="宋体" w:hint="eastAsia"/>
          <w:szCs w:val="21"/>
        </w:rPr>
        <w:t>，</w:t>
      </w:r>
      <w:r>
        <w:rPr>
          <w:rFonts w:ascii="宋体" w:hAnsi="宋体"/>
          <w:szCs w:val="21"/>
        </w:rPr>
        <w:t>作为南京市</w:t>
      </w:r>
      <w:hyperlink r:id="rId9" w:tgtFrame="_blank" w:history="1">
        <w:r>
          <w:rPr>
            <w:rFonts w:ascii="宋体" w:hAnsi="宋体"/>
            <w:szCs w:val="21"/>
          </w:rPr>
          <w:t>城市总体规划</w:t>
        </w:r>
      </w:hyperlink>
      <w:r>
        <w:rPr>
          <w:rFonts w:ascii="宋体" w:hAnsi="宋体"/>
          <w:szCs w:val="21"/>
        </w:rPr>
        <w:t>中“五桥</w:t>
      </w:r>
      <w:r>
        <w:rPr>
          <w:rFonts w:ascii="宋体" w:hAnsi="宋体" w:hint="eastAsia"/>
          <w:szCs w:val="21"/>
        </w:rPr>
        <w:t>二</w:t>
      </w:r>
      <w:r>
        <w:rPr>
          <w:rFonts w:ascii="宋体" w:hAnsi="宋体"/>
          <w:szCs w:val="21"/>
        </w:rPr>
        <w:t>隧”之一，</w:t>
      </w:r>
      <w:r>
        <w:rPr>
          <w:rFonts w:ascii="宋体" w:hAnsi="宋体"/>
          <w:szCs w:val="21"/>
        </w:rPr>
        <w:lastRenderedPageBreak/>
        <w:t>是</w:t>
      </w:r>
      <w:hyperlink r:id="rId10" w:tgtFrame="_blank" w:history="1">
        <w:r>
          <w:rPr>
            <w:rFonts w:ascii="宋体" w:hAnsi="宋体"/>
            <w:szCs w:val="21"/>
          </w:rPr>
          <w:t>南京绕城高速公路</w:t>
        </w:r>
      </w:hyperlink>
      <w:r>
        <w:rPr>
          <w:rFonts w:ascii="宋体" w:hAnsi="宋体"/>
          <w:szCs w:val="21"/>
        </w:rPr>
        <w:t>的过江通道和重要组成部分</w:t>
      </w:r>
      <w:r>
        <w:rPr>
          <w:rFonts w:ascii="宋体" w:hAnsi="宋体" w:hint="eastAsia"/>
          <w:szCs w:val="21"/>
        </w:rPr>
        <w:t>。全线于2012年12月建成通车。</w:t>
      </w:r>
    </w:p>
    <w:p w:rsidR="00EC1118" w:rsidRDefault="00A16C50">
      <w:pPr>
        <w:pStyle w:val="a3"/>
        <w:jc w:val="center"/>
        <w:rPr>
          <w:rFonts w:ascii="宋体" w:hAnsi="宋体"/>
        </w:rPr>
      </w:pPr>
      <w:r>
        <w:rPr>
          <w:noProof/>
        </w:rPr>
        <w:drawing>
          <wp:inline distT="0" distB="0" distL="0" distR="0">
            <wp:extent cx="5257800" cy="1171575"/>
            <wp:effectExtent l="19050" t="0" r="0" b="0"/>
            <wp:docPr id="1" name="图片 2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94"/>
                    <pic:cNvPicPr>
                      <a:picLocks noChangeAspect="1" noChangeArrowheads="1"/>
                    </pic:cNvPicPr>
                  </pic:nvPicPr>
                  <pic:blipFill>
                    <a:blip r:embed="rId11" cstate="print"/>
                    <a:srcRect/>
                    <a:stretch>
                      <a:fillRect/>
                    </a:stretch>
                  </pic:blipFill>
                  <pic:spPr>
                    <a:xfrm>
                      <a:off x="0" y="0"/>
                      <a:ext cx="5257800" cy="1171575"/>
                    </a:xfrm>
                    <a:prstGeom prst="rect">
                      <a:avLst/>
                    </a:prstGeom>
                    <a:noFill/>
                    <a:ln w="9525">
                      <a:noFill/>
                      <a:miter lim="800000"/>
                      <a:headEnd/>
                      <a:tailEnd/>
                    </a:ln>
                  </pic:spPr>
                </pic:pic>
              </a:graphicData>
            </a:graphic>
          </wp:inline>
        </w:drawing>
      </w:r>
    </w:p>
    <w:p w:rsidR="00EC1118" w:rsidRDefault="00A16C50">
      <w:pPr>
        <w:snapToGrid w:val="0"/>
        <w:jc w:val="center"/>
        <w:rPr>
          <w:rFonts w:ascii="Arial" w:hAnsi="宋体" w:cs="Arial"/>
          <w:b/>
          <w:sz w:val="18"/>
          <w:szCs w:val="18"/>
        </w:rPr>
      </w:pPr>
      <w:r>
        <w:rPr>
          <w:rFonts w:ascii="Arial" w:hAnsi="宋体" w:cs="Arial"/>
          <w:b/>
          <w:sz w:val="18"/>
          <w:szCs w:val="18"/>
        </w:rPr>
        <w:t>图</w:t>
      </w:r>
      <w:r>
        <w:rPr>
          <w:rFonts w:ascii="Arial" w:hAnsi="宋体" w:cs="Arial"/>
          <w:b/>
          <w:sz w:val="18"/>
          <w:szCs w:val="18"/>
        </w:rPr>
        <w:t xml:space="preserve">1 </w:t>
      </w:r>
      <w:r>
        <w:rPr>
          <w:rFonts w:ascii="Arial" w:hAnsi="宋体" w:cs="Arial"/>
          <w:b/>
          <w:sz w:val="18"/>
          <w:szCs w:val="18"/>
        </w:rPr>
        <w:t>南京长江第四大桥主桥总体布置</w:t>
      </w:r>
      <w:r>
        <w:rPr>
          <w:rFonts w:ascii="Arial" w:hAnsi="宋体" w:cs="Arial" w:hint="eastAsia"/>
          <w:b/>
          <w:sz w:val="18"/>
          <w:szCs w:val="18"/>
        </w:rPr>
        <w:t>（单位：</w:t>
      </w:r>
      <w:r>
        <w:rPr>
          <w:rFonts w:ascii="Arial" w:hAnsi="宋体" w:cs="Arial" w:hint="eastAsia"/>
          <w:b/>
          <w:sz w:val="18"/>
          <w:szCs w:val="18"/>
        </w:rPr>
        <w:t>cm</w:t>
      </w:r>
      <w:r>
        <w:rPr>
          <w:rFonts w:ascii="Arial" w:hAnsi="宋体" w:cs="Arial" w:hint="eastAsia"/>
          <w:b/>
          <w:sz w:val="18"/>
          <w:szCs w:val="18"/>
        </w:rPr>
        <w:t>）</w:t>
      </w:r>
    </w:p>
    <w:p w:rsidR="00EC1118" w:rsidRDefault="00A16C50" w:rsidP="003A3954">
      <w:pPr>
        <w:pStyle w:val="1"/>
        <w:numPr>
          <w:ilvl w:val="0"/>
          <w:numId w:val="0"/>
        </w:numPr>
        <w:snapToGrid w:val="0"/>
        <w:spacing w:beforeLines="50" w:afterLines="50"/>
        <w:jc w:val="center"/>
        <w:rPr>
          <w:rFonts w:ascii="黑体" w:eastAsia="黑体" w:hAnsi="黑体" w:cs="黑体"/>
          <w:szCs w:val="28"/>
        </w:rPr>
      </w:pPr>
      <w:r>
        <w:rPr>
          <w:rFonts w:ascii="黑体" w:eastAsia="黑体" w:hAnsi="黑体" w:cs="黑体" w:hint="eastAsia"/>
          <w:szCs w:val="28"/>
        </w:rPr>
        <w:t>三、运营期结构风险评估</w:t>
      </w:r>
      <w:r>
        <w:rPr>
          <w:rFonts w:ascii="黑体" w:eastAsia="黑体" w:hAnsi="黑体" w:cs="黑体" w:hint="eastAsia"/>
          <w:sz w:val="21"/>
          <w:szCs w:val="28"/>
          <w:vertAlign w:val="superscript"/>
        </w:rPr>
        <w:t>[1,2,3]</w:t>
      </w:r>
    </w:p>
    <w:p w:rsidR="00EC1118" w:rsidRDefault="00A16C50">
      <w:pPr>
        <w:autoSpaceDE w:val="0"/>
        <w:autoSpaceDN w:val="0"/>
        <w:adjustRightInd w:val="0"/>
        <w:snapToGrid w:val="0"/>
        <w:spacing w:line="360" w:lineRule="auto"/>
        <w:ind w:firstLineChars="200" w:firstLine="420"/>
        <w:jc w:val="left"/>
        <w:rPr>
          <w:rFonts w:ascii="宋体" w:hAnsi="宋体"/>
          <w:szCs w:val="21"/>
        </w:rPr>
      </w:pPr>
      <w:r>
        <w:rPr>
          <w:rFonts w:ascii="宋体" w:hAnsi="宋体" w:hint="eastAsia"/>
          <w:szCs w:val="21"/>
        </w:rPr>
        <w:t>作为已投入运营期的南京长江第四大桥主桥（以下简称“主桥”），相较于建设阶段，运营期的主桥表现出以下几个特点：①建设阶段风险已经消除；②主桥结构型式确定；③经过一段时间运营，初步验证桥梁达到了建设预期；④环境风险因素基本确定；⑤主桥当前技术状况较为明确。</w:t>
      </w:r>
    </w:p>
    <w:p w:rsidR="00EC1118" w:rsidRPr="003A3954" w:rsidRDefault="003A3954" w:rsidP="003A3954">
      <w:pPr>
        <w:autoSpaceDE w:val="0"/>
        <w:autoSpaceDN w:val="0"/>
        <w:adjustRightInd w:val="0"/>
        <w:snapToGrid w:val="0"/>
        <w:spacing w:line="360" w:lineRule="auto"/>
        <w:ind w:firstLineChars="200" w:firstLine="562"/>
        <w:jc w:val="left"/>
        <w:rPr>
          <w:rFonts w:ascii="宋体" w:hAnsi="宋体"/>
          <w:szCs w:val="21"/>
        </w:rPr>
      </w:pPr>
      <w:r>
        <w:rPr>
          <w:rFonts w:ascii="仿宋" w:eastAsia="仿宋" w:hAnsi="仿宋" w:cs="仿宋" w:hint="eastAsia"/>
          <w:b/>
          <w:bCs/>
          <w:sz w:val="28"/>
          <w:szCs w:val="28"/>
        </w:rPr>
        <w:t>（一）</w:t>
      </w:r>
      <w:r w:rsidR="00A16C50">
        <w:rPr>
          <w:rFonts w:ascii="仿宋" w:eastAsia="仿宋" w:hAnsi="仿宋" w:cs="仿宋" w:hint="eastAsia"/>
          <w:b/>
          <w:bCs/>
          <w:sz w:val="28"/>
          <w:szCs w:val="28"/>
        </w:rPr>
        <w:t>结构解析</w:t>
      </w:r>
    </w:p>
    <w:p w:rsidR="00EC1118" w:rsidRDefault="00A16C50">
      <w:pPr>
        <w:autoSpaceDE w:val="0"/>
        <w:autoSpaceDN w:val="0"/>
        <w:adjustRightInd w:val="0"/>
        <w:snapToGrid w:val="0"/>
        <w:spacing w:line="360" w:lineRule="auto"/>
        <w:ind w:firstLineChars="200" w:firstLine="420"/>
        <w:jc w:val="left"/>
        <w:rPr>
          <w:rFonts w:ascii="宋体" w:hAnsi="宋体"/>
          <w:szCs w:val="21"/>
        </w:rPr>
      </w:pPr>
      <w:r>
        <w:rPr>
          <w:rFonts w:ascii="宋体" w:hAnsi="宋体" w:hint="eastAsia"/>
          <w:szCs w:val="21"/>
        </w:rPr>
        <w:t>南京四桥主桥</w:t>
      </w:r>
      <w:r>
        <w:rPr>
          <w:rFonts w:ascii="宋体" w:hAnsi="宋体"/>
          <w:szCs w:val="21"/>
        </w:rPr>
        <w:t>结构</w:t>
      </w:r>
      <w:r>
        <w:rPr>
          <w:rFonts w:ascii="宋体" w:hAnsi="宋体" w:hint="eastAsia"/>
          <w:szCs w:val="21"/>
        </w:rPr>
        <w:t>部件</w:t>
      </w:r>
      <w:r>
        <w:rPr>
          <w:rFonts w:ascii="宋体" w:hAnsi="宋体"/>
          <w:szCs w:val="21"/>
        </w:rPr>
        <w:t>分别由不同材料组成</w:t>
      </w:r>
      <w:r>
        <w:rPr>
          <w:rFonts w:ascii="宋体" w:hAnsi="宋体" w:hint="eastAsia"/>
          <w:szCs w:val="21"/>
        </w:rPr>
        <w:t>，包括了钢、混凝土结构和沥青混凝土等</w:t>
      </w:r>
      <w:r>
        <w:rPr>
          <w:rFonts w:ascii="宋体" w:hAnsi="宋体"/>
          <w:szCs w:val="21"/>
        </w:rPr>
        <w:t>，</w:t>
      </w:r>
      <w:r>
        <w:rPr>
          <w:rFonts w:ascii="宋体" w:hAnsi="宋体" w:hint="eastAsia"/>
          <w:szCs w:val="21"/>
        </w:rPr>
        <w:t>部件</w:t>
      </w:r>
      <w:r>
        <w:rPr>
          <w:rFonts w:ascii="宋体" w:hAnsi="宋体"/>
          <w:szCs w:val="21"/>
        </w:rPr>
        <w:t>材料性质直接影响构件的使用</w:t>
      </w:r>
      <w:r>
        <w:rPr>
          <w:rFonts w:ascii="宋体" w:hAnsi="宋体" w:hint="eastAsia"/>
          <w:szCs w:val="21"/>
        </w:rPr>
        <w:t>性能。</w:t>
      </w:r>
      <w:r>
        <w:rPr>
          <w:rFonts w:ascii="宋体" w:hAnsi="宋体"/>
          <w:szCs w:val="21"/>
        </w:rPr>
        <w:t>另外，由于</w:t>
      </w:r>
      <w:r>
        <w:rPr>
          <w:rFonts w:ascii="宋体" w:hAnsi="宋体" w:hint="eastAsia"/>
          <w:szCs w:val="21"/>
        </w:rPr>
        <w:t>结构部件结构</w:t>
      </w:r>
      <w:r>
        <w:rPr>
          <w:rFonts w:ascii="宋体" w:hAnsi="宋体"/>
          <w:szCs w:val="21"/>
        </w:rPr>
        <w:t>形式、受力</w:t>
      </w:r>
      <w:r>
        <w:rPr>
          <w:rFonts w:ascii="宋体" w:hAnsi="宋体" w:hint="eastAsia"/>
          <w:szCs w:val="21"/>
        </w:rPr>
        <w:t>模式和</w:t>
      </w:r>
      <w:r>
        <w:rPr>
          <w:rFonts w:ascii="宋体" w:hAnsi="宋体"/>
          <w:szCs w:val="21"/>
        </w:rPr>
        <w:t>损坏方式的不同，</w:t>
      </w:r>
      <w:r>
        <w:rPr>
          <w:rFonts w:ascii="宋体" w:hAnsi="宋体" w:hint="eastAsia"/>
          <w:szCs w:val="21"/>
        </w:rPr>
        <w:t>其在运营期可能面临的风险也</w:t>
      </w:r>
      <w:r>
        <w:rPr>
          <w:rFonts w:ascii="宋体" w:hAnsi="宋体"/>
          <w:szCs w:val="21"/>
        </w:rPr>
        <w:t>会</w:t>
      </w:r>
      <w:r>
        <w:rPr>
          <w:rFonts w:ascii="宋体" w:hAnsi="宋体" w:hint="eastAsia"/>
          <w:szCs w:val="21"/>
        </w:rPr>
        <w:t>不尽</w:t>
      </w:r>
      <w:r>
        <w:rPr>
          <w:rFonts w:ascii="宋体" w:hAnsi="宋体"/>
          <w:szCs w:val="21"/>
        </w:rPr>
        <w:t>相同。</w:t>
      </w:r>
    </w:p>
    <w:p w:rsidR="00EC1118" w:rsidRPr="003A3954" w:rsidRDefault="003A3954" w:rsidP="003A3954">
      <w:pPr>
        <w:autoSpaceDE w:val="0"/>
        <w:autoSpaceDN w:val="0"/>
        <w:adjustRightInd w:val="0"/>
        <w:snapToGrid w:val="0"/>
        <w:spacing w:line="360" w:lineRule="auto"/>
        <w:ind w:firstLineChars="200" w:firstLine="562"/>
        <w:jc w:val="left"/>
      </w:pPr>
      <w:r>
        <w:rPr>
          <w:rFonts w:ascii="仿宋" w:eastAsia="仿宋" w:hAnsi="仿宋" w:cs="仿宋" w:hint="eastAsia"/>
          <w:b/>
          <w:bCs/>
          <w:sz w:val="28"/>
          <w:szCs w:val="28"/>
        </w:rPr>
        <w:t>（二）</w:t>
      </w:r>
      <w:r w:rsidR="00A16C50" w:rsidRPr="003A3954">
        <w:rPr>
          <w:rFonts w:ascii="仿宋" w:eastAsia="仿宋" w:hAnsi="仿宋" w:cs="仿宋" w:hint="eastAsia"/>
          <w:b/>
          <w:bCs/>
          <w:sz w:val="28"/>
          <w:szCs w:val="28"/>
        </w:rPr>
        <w:t>风险估测</w:t>
      </w:r>
    </w:p>
    <w:p w:rsidR="00EC1118" w:rsidRDefault="00A16C50">
      <w:pPr>
        <w:autoSpaceDE w:val="0"/>
        <w:autoSpaceDN w:val="0"/>
        <w:adjustRightInd w:val="0"/>
        <w:snapToGrid w:val="0"/>
        <w:spacing w:line="360" w:lineRule="auto"/>
        <w:ind w:firstLineChars="200" w:firstLine="420"/>
        <w:jc w:val="left"/>
        <w:rPr>
          <w:rFonts w:ascii="宋体" w:hAnsi="宋体"/>
          <w:szCs w:val="21"/>
        </w:rPr>
      </w:pPr>
      <w:r>
        <w:rPr>
          <w:rFonts w:ascii="宋体" w:hAnsi="宋体" w:hint="eastAsia"/>
          <w:szCs w:val="21"/>
        </w:rPr>
        <w:t>按照《指南》的要求，对风险事件的估测要从</w:t>
      </w:r>
      <w:r>
        <w:rPr>
          <w:rFonts w:ascii="宋体" w:hAnsi="宋体"/>
          <w:szCs w:val="21"/>
        </w:rPr>
        <w:t>概率估计和损失估计</w:t>
      </w:r>
      <w:r>
        <w:rPr>
          <w:rFonts w:ascii="宋体" w:hAnsi="宋体" w:hint="eastAsia"/>
          <w:szCs w:val="21"/>
        </w:rPr>
        <w:t>两方面入手</w:t>
      </w:r>
      <w:r>
        <w:rPr>
          <w:rFonts w:ascii="宋体" w:hAnsi="宋体"/>
          <w:szCs w:val="21"/>
        </w:rPr>
        <w:t>。</w:t>
      </w:r>
      <w:r>
        <w:rPr>
          <w:rFonts w:ascii="宋体" w:hAnsi="宋体" w:hint="eastAsia"/>
          <w:szCs w:val="21"/>
        </w:rPr>
        <w:t>南京四桥已经建成通车，环境破坏的主要可能性来源于危化品运输车辆在桥梁上发生事故，因此在环境破坏的损失方面将仅考虑人员伤亡和经济损失（包括环境修复费用）。在分析方法上，考虑</w:t>
      </w:r>
      <w:r>
        <w:rPr>
          <w:rFonts w:ascii="宋体" w:hAnsi="宋体"/>
          <w:szCs w:val="21"/>
        </w:rPr>
        <w:t>计算参数的假定</w:t>
      </w:r>
      <w:r>
        <w:rPr>
          <w:rFonts w:ascii="宋体" w:hAnsi="宋体" w:hint="eastAsia"/>
          <w:szCs w:val="21"/>
        </w:rPr>
        <w:t>和</w:t>
      </w:r>
      <w:r>
        <w:rPr>
          <w:rFonts w:ascii="宋体" w:hAnsi="宋体"/>
          <w:szCs w:val="21"/>
        </w:rPr>
        <w:t>过程的不准确</w:t>
      </w:r>
      <w:r>
        <w:rPr>
          <w:rFonts w:ascii="宋体" w:hAnsi="宋体" w:hint="eastAsia"/>
          <w:szCs w:val="21"/>
        </w:rPr>
        <w:t>，以及</w:t>
      </w:r>
      <w:r>
        <w:rPr>
          <w:rFonts w:ascii="宋体" w:hAnsi="宋体"/>
          <w:szCs w:val="21"/>
        </w:rPr>
        <w:t>数据统计缺乏长期性</w:t>
      </w:r>
      <w:r>
        <w:rPr>
          <w:rFonts w:ascii="宋体" w:hAnsi="宋体" w:hint="eastAsia"/>
          <w:szCs w:val="21"/>
        </w:rPr>
        <w:t>，</w:t>
      </w:r>
      <w:r>
        <w:rPr>
          <w:rFonts w:ascii="宋体" w:hAnsi="宋体"/>
          <w:szCs w:val="21"/>
        </w:rPr>
        <w:t>定量分析所依据的数据的可靠性很难保证，量化分析</w:t>
      </w:r>
      <w:r>
        <w:rPr>
          <w:rFonts w:ascii="宋体" w:hAnsi="宋体" w:hint="eastAsia"/>
          <w:szCs w:val="21"/>
        </w:rPr>
        <w:t>存在较大</w:t>
      </w:r>
      <w:r>
        <w:rPr>
          <w:rFonts w:ascii="宋体" w:hAnsi="宋体"/>
          <w:szCs w:val="21"/>
        </w:rPr>
        <w:t>困难</w:t>
      </w:r>
      <w:r>
        <w:rPr>
          <w:rFonts w:ascii="宋体" w:hAnsi="宋体" w:hint="eastAsia"/>
          <w:szCs w:val="21"/>
        </w:rPr>
        <w:t>。</w:t>
      </w:r>
    </w:p>
    <w:p w:rsidR="00EC1118" w:rsidRDefault="00A16C50" w:rsidP="00555B4B">
      <w:pPr>
        <w:autoSpaceDE w:val="0"/>
        <w:autoSpaceDN w:val="0"/>
        <w:adjustRightInd w:val="0"/>
        <w:snapToGrid w:val="0"/>
        <w:spacing w:line="360" w:lineRule="auto"/>
        <w:ind w:firstLineChars="200" w:firstLine="422"/>
        <w:jc w:val="left"/>
        <w:rPr>
          <w:rFonts w:ascii="黑体" w:eastAsia="黑体" w:hAnsi="黑体" w:cs="黑体"/>
          <w:b/>
          <w:bCs/>
          <w:szCs w:val="21"/>
        </w:rPr>
      </w:pPr>
      <w:r>
        <w:rPr>
          <w:rFonts w:ascii="黑体" w:eastAsia="黑体" w:hAnsi="黑体" w:cs="黑体" w:hint="eastAsia"/>
          <w:b/>
          <w:bCs/>
          <w:szCs w:val="21"/>
        </w:rPr>
        <w:t>1.钢结构疲劳风险</w:t>
      </w:r>
    </w:p>
    <w:p w:rsidR="00EC1118" w:rsidRDefault="00A16C50">
      <w:pPr>
        <w:autoSpaceDE w:val="0"/>
        <w:autoSpaceDN w:val="0"/>
        <w:adjustRightInd w:val="0"/>
        <w:snapToGrid w:val="0"/>
        <w:spacing w:line="360" w:lineRule="auto"/>
        <w:ind w:firstLineChars="200" w:firstLine="420"/>
        <w:jc w:val="left"/>
        <w:rPr>
          <w:rFonts w:ascii="宋体" w:hAnsi="宋体"/>
          <w:szCs w:val="21"/>
        </w:rPr>
      </w:pPr>
      <w:r>
        <w:rPr>
          <w:rFonts w:ascii="宋体" w:hAnsi="宋体" w:hint="eastAsia"/>
          <w:szCs w:val="21"/>
        </w:rPr>
        <w:t>正交异性钢桥面板疲劳是钢箱梁悬索桥运营期面临的主要风险。南京四桥主桥加劲梁的设计已参考了日本、欧洲和美国的钢结构设计规范，但从经济角度出发并未考虑无限寿命疲劳设计。</w:t>
      </w:r>
    </w:p>
    <w:p w:rsidR="00EC1118" w:rsidRDefault="00A16C50" w:rsidP="00555B4B">
      <w:pPr>
        <w:autoSpaceDE w:val="0"/>
        <w:autoSpaceDN w:val="0"/>
        <w:adjustRightInd w:val="0"/>
        <w:snapToGrid w:val="0"/>
        <w:spacing w:line="360" w:lineRule="auto"/>
        <w:ind w:firstLineChars="200" w:firstLine="422"/>
        <w:jc w:val="left"/>
        <w:rPr>
          <w:rFonts w:ascii="黑体" w:eastAsia="黑体" w:hAnsi="黑体" w:cs="黑体"/>
          <w:b/>
          <w:bCs/>
          <w:szCs w:val="21"/>
        </w:rPr>
      </w:pPr>
      <w:r>
        <w:rPr>
          <w:rFonts w:ascii="黑体" w:eastAsia="黑体" w:hAnsi="黑体" w:cs="黑体" w:hint="eastAsia"/>
          <w:b/>
          <w:bCs/>
          <w:szCs w:val="21"/>
        </w:rPr>
        <w:t>2.冰雪</w:t>
      </w:r>
    </w:p>
    <w:p w:rsidR="00EC1118" w:rsidRDefault="00A16C50">
      <w:pPr>
        <w:autoSpaceDE w:val="0"/>
        <w:autoSpaceDN w:val="0"/>
        <w:adjustRightInd w:val="0"/>
        <w:snapToGrid w:val="0"/>
        <w:spacing w:line="360" w:lineRule="auto"/>
        <w:ind w:firstLineChars="200" w:firstLine="420"/>
        <w:jc w:val="left"/>
        <w:rPr>
          <w:rFonts w:ascii="Arial" w:hAnsi="Arial" w:cs="Arial"/>
          <w:szCs w:val="21"/>
        </w:rPr>
      </w:pPr>
      <w:r>
        <w:rPr>
          <w:rFonts w:ascii="Arial" w:cs="Arial"/>
          <w:color w:val="333333"/>
        </w:rPr>
        <w:t>南京属亚热带季风气候，冬季气温可达到零度以下，冰雪天气形成的积雪、结冰等对加劲梁结构并无明显影响，但导致的交通堵塞和除冰盐的应用会影响到加劲梁。具体可以借鉴</w:t>
      </w:r>
      <w:r>
        <w:rPr>
          <w:rFonts w:ascii="Arial" w:hAnsi="Arial" w:cs="Arial"/>
          <w:color w:val="333333"/>
        </w:rPr>
        <w:t>2008</w:t>
      </w:r>
      <w:r>
        <w:rPr>
          <w:rFonts w:ascii="Arial" w:cs="Arial"/>
          <w:color w:val="333333"/>
        </w:rPr>
        <w:t>年南京长江第三大桥遭遇</w:t>
      </w:r>
      <w:r>
        <w:rPr>
          <w:rFonts w:ascii="Arial" w:hAnsi="Arial" w:cs="Arial"/>
          <w:color w:val="333333"/>
        </w:rPr>
        <w:t>50</w:t>
      </w:r>
      <w:r>
        <w:rPr>
          <w:rFonts w:ascii="Arial" w:cs="Arial"/>
          <w:color w:val="333333"/>
        </w:rPr>
        <w:t>年一遇大雪的情况</w:t>
      </w:r>
    </w:p>
    <w:p w:rsidR="00EC1118" w:rsidRDefault="00A16C50" w:rsidP="00555B4B">
      <w:pPr>
        <w:autoSpaceDE w:val="0"/>
        <w:autoSpaceDN w:val="0"/>
        <w:adjustRightInd w:val="0"/>
        <w:snapToGrid w:val="0"/>
        <w:spacing w:line="360" w:lineRule="auto"/>
        <w:ind w:firstLineChars="200" w:firstLine="422"/>
        <w:jc w:val="left"/>
        <w:rPr>
          <w:rFonts w:ascii="黑体" w:eastAsia="黑体" w:hAnsi="黑体" w:cs="黑体"/>
          <w:b/>
          <w:bCs/>
          <w:szCs w:val="21"/>
        </w:rPr>
      </w:pPr>
      <w:r>
        <w:rPr>
          <w:rFonts w:ascii="黑体" w:eastAsia="黑体" w:hAnsi="黑体" w:cs="黑体" w:hint="eastAsia"/>
          <w:b/>
          <w:bCs/>
          <w:szCs w:val="21"/>
        </w:rPr>
        <w:t>3.车致交通事故</w:t>
      </w:r>
    </w:p>
    <w:p w:rsidR="00EC1118" w:rsidRDefault="00A16C50">
      <w:pPr>
        <w:autoSpaceDE w:val="0"/>
        <w:autoSpaceDN w:val="0"/>
        <w:adjustRightInd w:val="0"/>
        <w:snapToGrid w:val="0"/>
        <w:spacing w:line="360" w:lineRule="auto"/>
        <w:ind w:firstLineChars="200" w:firstLine="420"/>
        <w:jc w:val="left"/>
        <w:rPr>
          <w:rFonts w:ascii="Times New Roman" w:hAnsi="Times New Roman"/>
          <w:color w:val="333333"/>
        </w:rPr>
      </w:pPr>
      <w:r>
        <w:rPr>
          <w:rFonts w:ascii="Times New Roman" w:hAnsi="Times New Roman"/>
          <w:color w:val="333333"/>
        </w:rPr>
        <w:t>根据已有的技术资料，桥梁上平日事故发生率为</w:t>
      </w:r>
      <w:r>
        <w:rPr>
          <w:rFonts w:ascii="Times New Roman" w:hAnsi="Times New Roman"/>
          <w:color w:val="333333"/>
        </w:rPr>
        <w:t>5~6</w:t>
      </w:r>
      <w:r>
        <w:rPr>
          <w:rFonts w:ascii="Times New Roman" w:hAnsi="Times New Roman"/>
          <w:color w:val="333333"/>
        </w:rPr>
        <w:t>起</w:t>
      </w:r>
      <w:r>
        <w:rPr>
          <w:rFonts w:ascii="Times New Roman" w:hAnsi="Times New Roman"/>
          <w:color w:val="333333"/>
        </w:rPr>
        <w:t>/</w:t>
      </w:r>
      <w:r>
        <w:rPr>
          <w:rFonts w:ascii="Times New Roman" w:hAnsi="Times New Roman"/>
          <w:color w:val="333333"/>
        </w:rPr>
        <w:t>亿车公里，遇到炎热或恶劣天气，事故发生率将上升至</w:t>
      </w:r>
      <w:r>
        <w:rPr>
          <w:rFonts w:ascii="Times New Roman" w:hAnsi="Times New Roman"/>
          <w:color w:val="333333"/>
        </w:rPr>
        <w:t>7~10</w:t>
      </w:r>
      <w:r>
        <w:rPr>
          <w:rFonts w:ascii="Times New Roman" w:hAnsi="Times New Roman"/>
          <w:color w:val="333333"/>
        </w:rPr>
        <w:t>起</w:t>
      </w:r>
      <w:r>
        <w:rPr>
          <w:rFonts w:ascii="Times New Roman" w:hAnsi="Times New Roman"/>
          <w:color w:val="333333"/>
        </w:rPr>
        <w:t>/</w:t>
      </w:r>
      <w:r>
        <w:rPr>
          <w:rFonts w:ascii="Times New Roman" w:hAnsi="Times New Roman"/>
          <w:color w:val="333333"/>
        </w:rPr>
        <w:t>亿车公里</w:t>
      </w:r>
    </w:p>
    <w:p w:rsidR="00EC1118" w:rsidRDefault="00A16C50" w:rsidP="003A3954">
      <w:pPr>
        <w:pStyle w:val="1"/>
        <w:numPr>
          <w:ilvl w:val="0"/>
          <w:numId w:val="0"/>
        </w:numPr>
        <w:snapToGrid w:val="0"/>
        <w:spacing w:beforeLines="50" w:afterLines="50"/>
        <w:jc w:val="center"/>
        <w:rPr>
          <w:rFonts w:ascii="黑体" w:eastAsia="黑体" w:hAnsi="黑体" w:cs="黑体"/>
          <w:szCs w:val="28"/>
        </w:rPr>
      </w:pPr>
      <w:r>
        <w:rPr>
          <w:rFonts w:ascii="黑体" w:eastAsia="黑体" w:hAnsi="黑体" w:cs="黑体" w:hint="eastAsia"/>
          <w:szCs w:val="28"/>
        </w:rPr>
        <w:lastRenderedPageBreak/>
        <w:t>四、风险管理对策</w:t>
      </w:r>
    </w:p>
    <w:p w:rsidR="00EC1118" w:rsidRDefault="00A16C50">
      <w:pPr>
        <w:autoSpaceDE w:val="0"/>
        <w:autoSpaceDN w:val="0"/>
        <w:adjustRightInd w:val="0"/>
        <w:snapToGrid w:val="0"/>
        <w:spacing w:line="360" w:lineRule="auto"/>
        <w:ind w:firstLineChars="200" w:firstLine="420"/>
        <w:jc w:val="left"/>
        <w:rPr>
          <w:rFonts w:ascii="宋体" w:hAnsi="宋体"/>
          <w:szCs w:val="21"/>
        </w:rPr>
      </w:pPr>
      <w:r>
        <w:rPr>
          <w:rFonts w:ascii="宋体" w:hAnsi="宋体" w:hint="eastAsia"/>
          <w:szCs w:val="21"/>
        </w:rPr>
        <w:t>根据当前公路桥梁养护规范、标准和制度要求，对运营期桥梁通常采取的养护管理对策有：①检查/检测，包括日常巡查、经常性检查、定期检查、应急检查和专项检测等</w:t>
      </w:r>
      <w:r>
        <w:rPr>
          <w:rFonts w:ascii="宋体" w:hAnsi="宋体" w:hint="eastAsia"/>
          <w:szCs w:val="21"/>
          <w:vertAlign w:val="superscript"/>
        </w:rPr>
        <w:t>[7]</w:t>
      </w:r>
      <w:r>
        <w:rPr>
          <w:rFonts w:ascii="宋体" w:hAnsi="宋体" w:hint="eastAsia"/>
          <w:szCs w:val="21"/>
        </w:rPr>
        <w:t>；②监测主要是指采用健康监测系统实时对结构进行监测</w:t>
      </w:r>
      <w:r w:rsidR="001618B1">
        <w:rPr>
          <w:rFonts w:ascii="宋体" w:hAnsi="宋体" w:hint="eastAsia"/>
          <w:szCs w:val="21"/>
        </w:rPr>
        <w:t>。</w:t>
      </w:r>
    </w:p>
    <w:p w:rsidR="003A3954" w:rsidRDefault="00A16C50" w:rsidP="003A3954">
      <w:pPr>
        <w:autoSpaceDE w:val="0"/>
        <w:autoSpaceDN w:val="0"/>
        <w:adjustRightInd w:val="0"/>
        <w:snapToGrid w:val="0"/>
        <w:spacing w:line="360" w:lineRule="auto"/>
        <w:ind w:firstLineChars="200" w:firstLine="420"/>
        <w:jc w:val="left"/>
        <w:rPr>
          <w:rFonts w:ascii="宋体" w:hAnsi="宋体"/>
          <w:szCs w:val="21"/>
        </w:rPr>
      </w:pPr>
      <w:r>
        <w:rPr>
          <w:rFonts w:ascii="宋体" w:hAnsi="宋体" w:hint="eastAsia"/>
          <w:szCs w:val="21"/>
        </w:rPr>
        <w:t>限于篇幅要求，仅以加劲梁为例，确定其运营期风险评估成果选取相应的养护管理对策，见表6。</w:t>
      </w:r>
    </w:p>
    <w:p w:rsidR="00EC1118" w:rsidRDefault="00A16C50">
      <w:pPr>
        <w:snapToGrid w:val="0"/>
        <w:jc w:val="center"/>
        <w:rPr>
          <w:rFonts w:ascii="Arial" w:hAnsi="宋体" w:cs="Arial"/>
          <w:b/>
          <w:sz w:val="18"/>
          <w:szCs w:val="18"/>
        </w:rPr>
      </w:pPr>
      <w:r>
        <w:rPr>
          <w:rFonts w:ascii="Arial" w:hAnsi="宋体" w:cs="Arial" w:hint="eastAsia"/>
          <w:b/>
          <w:sz w:val="18"/>
          <w:szCs w:val="18"/>
        </w:rPr>
        <w:t>表</w:t>
      </w:r>
      <w:r>
        <w:rPr>
          <w:rFonts w:ascii="Arial" w:hAnsi="宋体" w:cs="Arial" w:hint="eastAsia"/>
          <w:b/>
          <w:sz w:val="18"/>
          <w:szCs w:val="18"/>
        </w:rPr>
        <w:t xml:space="preserve">6 </w:t>
      </w:r>
      <w:r>
        <w:rPr>
          <w:rFonts w:ascii="Arial" w:hAnsi="宋体" w:cs="Arial" w:hint="eastAsia"/>
          <w:b/>
          <w:sz w:val="18"/>
          <w:szCs w:val="18"/>
        </w:rPr>
        <w:t>南京四桥主桥加劲梁运营期风险管理对策表</w:t>
      </w:r>
    </w:p>
    <w:tbl>
      <w:tblPr>
        <w:tblW w:w="68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76"/>
        <w:gridCol w:w="846"/>
        <w:gridCol w:w="1386"/>
        <w:gridCol w:w="576"/>
        <w:gridCol w:w="576"/>
        <w:gridCol w:w="576"/>
        <w:gridCol w:w="576"/>
        <w:gridCol w:w="576"/>
        <w:gridCol w:w="576"/>
        <w:gridCol w:w="576"/>
      </w:tblGrid>
      <w:tr w:rsidR="006E44AF" w:rsidTr="006E44AF">
        <w:trPr>
          <w:trHeight w:val="255"/>
          <w:jc w:val="center"/>
        </w:trPr>
        <w:tc>
          <w:tcPr>
            <w:tcW w:w="576" w:type="dxa"/>
            <w:shd w:val="clear" w:color="auto" w:fill="auto"/>
            <w:vAlign w:val="center"/>
          </w:tcPr>
          <w:p w:rsidR="006E44AF" w:rsidRDefault="006E44AF">
            <w:pPr>
              <w:widowControl/>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846" w:type="dxa"/>
            <w:shd w:val="clear" w:color="auto" w:fill="auto"/>
            <w:vAlign w:val="center"/>
          </w:tcPr>
          <w:p w:rsidR="006E44AF" w:rsidRDefault="006E44AF">
            <w:pPr>
              <w:widowControl/>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风险源</w:t>
            </w:r>
          </w:p>
        </w:tc>
        <w:tc>
          <w:tcPr>
            <w:tcW w:w="1386" w:type="dxa"/>
            <w:shd w:val="clear" w:color="auto" w:fill="auto"/>
            <w:vAlign w:val="center"/>
          </w:tcPr>
          <w:p w:rsidR="006E44AF" w:rsidRDefault="006E44AF">
            <w:pPr>
              <w:widowControl/>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主要风险事件</w:t>
            </w:r>
          </w:p>
        </w:tc>
        <w:tc>
          <w:tcPr>
            <w:tcW w:w="576" w:type="dxa"/>
            <w:vAlign w:val="center"/>
          </w:tcPr>
          <w:p w:rsidR="006E44AF" w:rsidRDefault="006E44AF">
            <w:pPr>
              <w:snapToGrid w:val="0"/>
              <w:spacing w:line="240" w:lineRule="atLeast"/>
              <w:jc w:val="center"/>
              <w:rPr>
                <w:color w:val="000000"/>
                <w:sz w:val="18"/>
                <w:szCs w:val="18"/>
              </w:rPr>
            </w:pPr>
            <w:r>
              <w:rPr>
                <w:rFonts w:hint="eastAsia"/>
                <w:color w:val="000000"/>
                <w:sz w:val="18"/>
                <w:szCs w:val="18"/>
              </w:rPr>
              <w:t>检查</w:t>
            </w:r>
          </w:p>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检测</w:t>
            </w:r>
          </w:p>
        </w:tc>
        <w:tc>
          <w:tcPr>
            <w:tcW w:w="576" w:type="dxa"/>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监测</w:t>
            </w:r>
          </w:p>
        </w:tc>
        <w:tc>
          <w:tcPr>
            <w:tcW w:w="576" w:type="dxa"/>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养护</w:t>
            </w:r>
          </w:p>
        </w:tc>
        <w:tc>
          <w:tcPr>
            <w:tcW w:w="576" w:type="dxa"/>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维修</w:t>
            </w:r>
          </w:p>
        </w:tc>
        <w:tc>
          <w:tcPr>
            <w:tcW w:w="576" w:type="dxa"/>
            <w:vAlign w:val="center"/>
          </w:tcPr>
          <w:p w:rsidR="006E44AF" w:rsidRDefault="006E44AF">
            <w:pPr>
              <w:snapToGrid w:val="0"/>
              <w:spacing w:line="240" w:lineRule="atLeast"/>
              <w:jc w:val="center"/>
              <w:rPr>
                <w:color w:val="000000"/>
                <w:sz w:val="18"/>
                <w:szCs w:val="18"/>
              </w:rPr>
            </w:pPr>
            <w:r>
              <w:rPr>
                <w:rFonts w:hint="eastAsia"/>
                <w:color w:val="000000"/>
                <w:sz w:val="18"/>
                <w:szCs w:val="18"/>
              </w:rPr>
              <w:t>交通</w:t>
            </w:r>
          </w:p>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管制</w:t>
            </w:r>
          </w:p>
        </w:tc>
        <w:tc>
          <w:tcPr>
            <w:tcW w:w="576" w:type="dxa"/>
            <w:vAlign w:val="center"/>
          </w:tcPr>
          <w:p w:rsidR="006E44AF" w:rsidRDefault="006E44AF">
            <w:pPr>
              <w:snapToGrid w:val="0"/>
              <w:spacing w:line="240" w:lineRule="atLeast"/>
              <w:jc w:val="center"/>
              <w:rPr>
                <w:color w:val="000000"/>
                <w:sz w:val="18"/>
                <w:szCs w:val="18"/>
              </w:rPr>
            </w:pPr>
            <w:r>
              <w:rPr>
                <w:rFonts w:hint="eastAsia"/>
                <w:color w:val="000000"/>
                <w:sz w:val="18"/>
                <w:szCs w:val="18"/>
              </w:rPr>
              <w:t>应急</w:t>
            </w:r>
          </w:p>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计划</w:t>
            </w:r>
          </w:p>
        </w:tc>
        <w:tc>
          <w:tcPr>
            <w:tcW w:w="576" w:type="dxa"/>
            <w:vAlign w:val="center"/>
          </w:tcPr>
          <w:p w:rsidR="006E44AF" w:rsidRDefault="006E44AF">
            <w:pPr>
              <w:snapToGrid w:val="0"/>
              <w:spacing w:line="240" w:lineRule="atLeast"/>
              <w:jc w:val="center"/>
              <w:rPr>
                <w:color w:val="000000"/>
                <w:sz w:val="18"/>
                <w:szCs w:val="18"/>
              </w:rPr>
            </w:pPr>
            <w:r>
              <w:rPr>
                <w:rFonts w:hint="eastAsia"/>
                <w:color w:val="000000"/>
                <w:sz w:val="18"/>
                <w:szCs w:val="18"/>
              </w:rPr>
              <w:t>专题</w:t>
            </w:r>
          </w:p>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研究</w:t>
            </w:r>
          </w:p>
        </w:tc>
      </w:tr>
      <w:tr w:rsidR="006E44AF" w:rsidTr="006E44AF">
        <w:trPr>
          <w:trHeight w:val="91"/>
          <w:jc w:val="center"/>
        </w:trPr>
        <w:tc>
          <w:tcPr>
            <w:tcW w:w="576" w:type="dxa"/>
            <w:shd w:val="clear" w:color="auto" w:fill="auto"/>
            <w:vAlign w:val="center"/>
          </w:tcPr>
          <w:p w:rsidR="006E44AF" w:rsidRDefault="006E44AF">
            <w:pPr>
              <w:widowControl/>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46" w:type="dxa"/>
            <w:vMerge w:val="restart"/>
            <w:shd w:val="clear" w:color="auto" w:fill="auto"/>
            <w:vAlign w:val="center"/>
          </w:tcPr>
          <w:p w:rsidR="006E44AF" w:rsidRDefault="006E44AF">
            <w:pPr>
              <w:widowControl/>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材料</w:t>
            </w:r>
          </w:p>
          <w:p w:rsidR="006E44AF" w:rsidRDefault="006E44AF">
            <w:pPr>
              <w:widowControl/>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-普通钢</w:t>
            </w:r>
          </w:p>
        </w:tc>
        <w:tc>
          <w:tcPr>
            <w:tcW w:w="1386" w:type="dxa"/>
            <w:shd w:val="clear" w:color="auto" w:fill="auto"/>
            <w:vAlign w:val="center"/>
          </w:tcPr>
          <w:p w:rsidR="006E44AF" w:rsidRDefault="006E44AF">
            <w:pPr>
              <w:widowControl/>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腐蚀</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〇</w:t>
            </w:r>
          </w:p>
        </w:tc>
      </w:tr>
      <w:tr w:rsidR="006E44AF" w:rsidTr="006E44AF">
        <w:trPr>
          <w:trHeight w:val="75"/>
          <w:jc w:val="center"/>
        </w:trPr>
        <w:tc>
          <w:tcPr>
            <w:tcW w:w="576" w:type="dxa"/>
            <w:shd w:val="clear" w:color="auto" w:fill="auto"/>
            <w:vAlign w:val="center"/>
          </w:tcPr>
          <w:p w:rsidR="006E44AF" w:rsidRDefault="006E44AF">
            <w:pPr>
              <w:widowControl/>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46" w:type="dxa"/>
            <w:vMerge/>
            <w:vAlign w:val="center"/>
          </w:tcPr>
          <w:p w:rsidR="006E44AF" w:rsidRDefault="006E44AF">
            <w:pPr>
              <w:widowControl/>
              <w:snapToGrid w:val="0"/>
              <w:spacing w:line="240" w:lineRule="atLeast"/>
              <w:jc w:val="center"/>
              <w:rPr>
                <w:rFonts w:ascii="宋体" w:hAnsi="宋体" w:cs="宋体"/>
                <w:color w:val="000000"/>
                <w:kern w:val="0"/>
                <w:sz w:val="18"/>
                <w:szCs w:val="18"/>
              </w:rPr>
            </w:pPr>
          </w:p>
        </w:tc>
        <w:tc>
          <w:tcPr>
            <w:tcW w:w="1386" w:type="dxa"/>
            <w:shd w:val="clear" w:color="auto" w:fill="auto"/>
            <w:vAlign w:val="center"/>
          </w:tcPr>
          <w:p w:rsidR="006E44AF" w:rsidRDefault="006E44AF">
            <w:pPr>
              <w:widowControl/>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疲劳</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〇</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r>
      <w:tr w:rsidR="006E44AF" w:rsidTr="006E44AF">
        <w:trPr>
          <w:trHeight w:val="75"/>
          <w:jc w:val="center"/>
        </w:trPr>
        <w:tc>
          <w:tcPr>
            <w:tcW w:w="576" w:type="dxa"/>
            <w:shd w:val="clear" w:color="auto" w:fill="auto"/>
            <w:vAlign w:val="center"/>
          </w:tcPr>
          <w:p w:rsidR="006E44AF" w:rsidRDefault="006E44AF">
            <w:pPr>
              <w:widowControl/>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846" w:type="dxa"/>
            <w:vMerge w:val="restart"/>
            <w:shd w:val="clear" w:color="auto" w:fill="auto"/>
            <w:vAlign w:val="center"/>
          </w:tcPr>
          <w:p w:rsidR="006E44AF" w:rsidRDefault="006E44AF">
            <w:pPr>
              <w:widowControl/>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结构</w:t>
            </w:r>
          </w:p>
          <w:p w:rsidR="006E44AF" w:rsidRDefault="006E44AF">
            <w:pPr>
              <w:widowControl/>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及装置</w:t>
            </w:r>
          </w:p>
        </w:tc>
        <w:tc>
          <w:tcPr>
            <w:tcW w:w="1386" w:type="dxa"/>
            <w:shd w:val="clear" w:color="auto" w:fill="auto"/>
            <w:vAlign w:val="center"/>
          </w:tcPr>
          <w:p w:rsidR="006E44AF" w:rsidRDefault="006E44AF">
            <w:pPr>
              <w:widowControl/>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超载-局部效应</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r>
      <w:tr w:rsidR="006E44AF" w:rsidTr="006E44AF">
        <w:trPr>
          <w:trHeight w:val="100"/>
          <w:jc w:val="center"/>
        </w:trPr>
        <w:tc>
          <w:tcPr>
            <w:tcW w:w="576" w:type="dxa"/>
            <w:shd w:val="clear" w:color="auto" w:fill="auto"/>
            <w:vAlign w:val="center"/>
          </w:tcPr>
          <w:p w:rsidR="006E44AF" w:rsidRDefault="006E44AF">
            <w:pPr>
              <w:widowControl/>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846" w:type="dxa"/>
            <w:vMerge/>
            <w:vAlign w:val="center"/>
          </w:tcPr>
          <w:p w:rsidR="006E44AF" w:rsidRDefault="006E44AF">
            <w:pPr>
              <w:widowControl/>
              <w:snapToGrid w:val="0"/>
              <w:spacing w:line="240" w:lineRule="atLeast"/>
              <w:jc w:val="center"/>
              <w:rPr>
                <w:rFonts w:ascii="宋体" w:hAnsi="宋体" w:cs="宋体"/>
                <w:color w:val="000000"/>
                <w:kern w:val="0"/>
                <w:sz w:val="18"/>
                <w:szCs w:val="18"/>
              </w:rPr>
            </w:pPr>
          </w:p>
        </w:tc>
        <w:tc>
          <w:tcPr>
            <w:tcW w:w="1386" w:type="dxa"/>
            <w:shd w:val="clear" w:color="auto" w:fill="auto"/>
            <w:vAlign w:val="center"/>
          </w:tcPr>
          <w:p w:rsidR="006E44AF" w:rsidRDefault="006E44AF">
            <w:pPr>
              <w:widowControl/>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结构性能不足</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〇</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p>
        </w:tc>
      </w:tr>
      <w:tr w:rsidR="006E44AF" w:rsidTr="006E44AF">
        <w:trPr>
          <w:trHeight w:val="75"/>
          <w:jc w:val="center"/>
        </w:trPr>
        <w:tc>
          <w:tcPr>
            <w:tcW w:w="576" w:type="dxa"/>
            <w:shd w:val="clear" w:color="auto" w:fill="auto"/>
            <w:vAlign w:val="center"/>
          </w:tcPr>
          <w:p w:rsidR="006E44AF" w:rsidRDefault="006E44AF">
            <w:pPr>
              <w:widowControl/>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846" w:type="dxa"/>
            <w:vMerge w:val="restart"/>
            <w:shd w:val="clear" w:color="auto" w:fill="auto"/>
            <w:vAlign w:val="center"/>
          </w:tcPr>
          <w:p w:rsidR="006E44AF" w:rsidRDefault="006E44AF">
            <w:pPr>
              <w:widowControl/>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自然</w:t>
            </w:r>
          </w:p>
          <w:p w:rsidR="006E44AF" w:rsidRDefault="006E44AF">
            <w:pPr>
              <w:widowControl/>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灾害</w:t>
            </w:r>
          </w:p>
        </w:tc>
        <w:tc>
          <w:tcPr>
            <w:tcW w:w="1386" w:type="dxa"/>
            <w:shd w:val="clear" w:color="auto" w:fill="auto"/>
            <w:vAlign w:val="center"/>
          </w:tcPr>
          <w:p w:rsidR="006E44AF" w:rsidRDefault="006E44AF">
            <w:pPr>
              <w:widowControl/>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台风</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〇</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r>
      <w:tr w:rsidR="006E44AF" w:rsidTr="006E44AF">
        <w:trPr>
          <w:trHeight w:val="75"/>
          <w:jc w:val="center"/>
        </w:trPr>
        <w:tc>
          <w:tcPr>
            <w:tcW w:w="576" w:type="dxa"/>
            <w:shd w:val="clear" w:color="auto" w:fill="auto"/>
            <w:vAlign w:val="center"/>
          </w:tcPr>
          <w:p w:rsidR="006E44AF" w:rsidRDefault="006E44AF">
            <w:pPr>
              <w:widowControl/>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846" w:type="dxa"/>
            <w:vMerge/>
            <w:vAlign w:val="center"/>
          </w:tcPr>
          <w:p w:rsidR="006E44AF" w:rsidRDefault="006E44AF">
            <w:pPr>
              <w:widowControl/>
              <w:snapToGrid w:val="0"/>
              <w:spacing w:line="240" w:lineRule="atLeast"/>
              <w:jc w:val="center"/>
              <w:rPr>
                <w:rFonts w:ascii="宋体" w:hAnsi="宋体" w:cs="宋体"/>
                <w:color w:val="000000"/>
                <w:kern w:val="0"/>
                <w:sz w:val="18"/>
                <w:szCs w:val="18"/>
              </w:rPr>
            </w:pPr>
          </w:p>
        </w:tc>
        <w:tc>
          <w:tcPr>
            <w:tcW w:w="1386" w:type="dxa"/>
            <w:shd w:val="clear" w:color="auto" w:fill="auto"/>
            <w:vAlign w:val="center"/>
          </w:tcPr>
          <w:p w:rsidR="006E44AF" w:rsidRDefault="006E44AF">
            <w:pPr>
              <w:widowControl/>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地震</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〇</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p>
        </w:tc>
      </w:tr>
      <w:tr w:rsidR="006E44AF" w:rsidTr="006E44AF">
        <w:trPr>
          <w:trHeight w:val="75"/>
          <w:jc w:val="center"/>
        </w:trPr>
        <w:tc>
          <w:tcPr>
            <w:tcW w:w="576" w:type="dxa"/>
            <w:shd w:val="clear" w:color="auto" w:fill="auto"/>
            <w:vAlign w:val="center"/>
          </w:tcPr>
          <w:p w:rsidR="006E44AF" w:rsidRDefault="006E44AF">
            <w:pPr>
              <w:widowControl/>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846" w:type="dxa"/>
            <w:vMerge/>
            <w:vAlign w:val="center"/>
          </w:tcPr>
          <w:p w:rsidR="006E44AF" w:rsidRDefault="006E44AF">
            <w:pPr>
              <w:widowControl/>
              <w:snapToGrid w:val="0"/>
              <w:spacing w:line="240" w:lineRule="atLeast"/>
              <w:jc w:val="center"/>
              <w:rPr>
                <w:rFonts w:ascii="宋体" w:hAnsi="宋体" w:cs="宋体"/>
                <w:color w:val="000000"/>
                <w:kern w:val="0"/>
                <w:sz w:val="18"/>
                <w:szCs w:val="18"/>
              </w:rPr>
            </w:pPr>
          </w:p>
        </w:tc>
        <w:tc>
          <w:tcPr>
            <w:tcW w:w="1386" w:type="dxa"/>
            <w:shd w:val="clear" w:color="auto" w:fill="auto"/>
            <w:vAlign w:val="center"/>
          </w:tcPr>
          <w:p w:rsidR="006E44AF" w:rsidRDefault="006E44AF">
            <w:pPr>
              <w:widowControl/>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冰雪</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〇</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〇</w:t>
            </w:r>
          </w:p>
        </w:tc>
      </w:tr>
      <w:tr w:rsidR="006E44AF" w:rsidTr="006E44AF">
        <w:trPr>
          <w:trHeight w:val="137"/>
          <w:jc w:val="center"/>
        </w:trPr>
        <w:tc>
          <w:tcPr>
            <w:tcW w:w="576" w:type="dxa"/>
            <w:shd w:val="clear" w:color="auto" w:fill="auto"/>
            <w:vAlign w:val="center"/>
          </w:tcPr>
          <w:p w:rsidR="006E44AF" w:rsidRDefault="006E44AF">
            <w:pPr>
              <w:widowControl/>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846" w:type="dxa"/>
            <w:vMerge/>
            <w:vAlign w:val="center"/>
          </w:tcPr>
          <w:p w:rsidR="006E44AF" w:rsidRDefault="006E44AF">
            <w:pPr>
              <w:widowControl/>
              <w:snapToGrid w:val="0"/>
              <w:spacing w:line="240" w:lineRule="atLeast"/>
              <w:jc w:val="center"/>
              <w:rPr>
                <w:rFonts w:ascii="宋体" w:hAnsi="宋体" w:cs="宋体"/>
                <w:color w:val="000000"/>
                <w:kern w:val="0"/>
                <w:sz w:val="18"/>
                <w:szCs w:val="18"/>
              </w:rPr>
            </w:pPr>
          </w:p>
        </w:tc>
        <w:tc>
          <w:tcPr>
            <w:tcW w:w="1386" w:type="dxa"/>
            <w:shd w:val="clear" w:color="auto" w:fill="auto"/>
            <w:vAlign w:val="center"/>
          </w:tcPr>
          <w:p w:rsidR="006E44AF" w:rsidRDefault="006E44AF">
            <w:pPr>
              <w:widowControl/>
              <w:snapToGrid w:val="0"/>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极端气温</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r>
              <w:rPr>
                <w:rFonts w:hint="eastAsia"/>
                <w:color w:val="000000"/>
                <w:sz w:val="18"/>
                <w:szCs w:val="18"/>
              </w:rPr>
              <w:t>√</w:t>
            </w:r>
          </w:p>
        </w:tc>
        <w:tc>
          <w:tcPr>
            <w:tcW w:w="576" w:type="dxa"/>
            <w:shd w:val="clear" w:color="auto" w:fill="auto"/>
            <w:vAlign w:val="center"/>
          </w:tcPr>
          <w:p w:rsidR="006E44AF" w:rsidRDefault="006E44AF">
            <w:pPr>
              <w:snapToGrid w:val="0"/>
              <w:spacing w:line="240" w:lineRule="atLeast"/>
              <w:jc w:val="center"/>
              <w:rPr>
                <w:rFonts w:ascii="宋体" w:hAnsi="宋体" w:cs="宋体"/>
                <w:color w:val="000000"/>
                <w:sz w:val="18"/>
                <w:szCs w:val="18"/>
              </w:rPr>
            </w:pPr>
          </w:p>
        </w:tc>
      </w:tr>
    </w:tbl>
    <w:p w:rsidR="00EC1118" w:rsidRDefault="00A16C50">
      <w:pPr>
        <w:autoSpaceDE w:val="0"/>
        <w:autoSpaceDN w:val="0"/>
        <w:adjustRightInd w:val="0"/>
        <w:snapToGrid w:val="0"/>
        <w:ind w:firstLineChars="200" w:firstLine="360"/>
        <w:jc w:val="left"/>
        <w:rPr>
          <w:rFonts w:ascii="宋体" w:hAnsi="宋体"/>
          <w:sz w:val="18"/>
          <w:szCs w:val="18"/>
        </w:rPr>
      </w:pPr>
      <w:r>
        <w:rPr>
          <w:rFonts w:ascii="宋体" w:hAnsi="宋体" w:hint="eastAsia"/>
          <w:sz w:val="18"/>
          <w:szCs w:val="18"/>
        </w:rPr>
        <w:t>说明：1.√表示此项应该作为运营期开展的必要工作，</w:t>
      </w:r>
      <w:r>
        <w:rPr>
          <w:rFonts w:hint="eastAsia"/>
          <w:color w:val="000000"/>
          <w:sz w:val="18"/>
          <w:szCs w:val="18"/>
        </w:rPr>
        <w:t>〇为可根据需要开展；</w:t>
      </w:r>
      <w:r>
        <w:rPr>
          <w:rFonts w:hint="eastAsia"/>
          <w:color w:val="000000"/>
          <w:sz w:val="18"/>
          <w:szCs w:val="18"/>
        </w:rPr>
        <w:t>2.</w:t>
      </w:r>
      <w:r>
        <w:rPr>
          <w:rFonts w:ascii="宋体" w:hAnsi="宋体" w:hint="eastAsia"/>
          <w:sz w:val="18"/>
          <w:szCs w:val="18"/>
        </w:rPr>
        <w:t>检查/检测工作，既是规范要求也是风险管理要求，对于由于自然灾害、特殊事件或人为因素等造成的结构损伤，主要表现为事后开展相应的检查、检测；</w:t>
      </w:r>
      <w:r w:rsidR="00E82169">
        <w:rPr>
          <w:rFonts w:ascii="宋体" w:hAnsi="宋体"/>
          <w:sz w:val="18"/>
          <w:szCs w:val="18"/>
        </w:rPr>
        <w:t xml:space="preserve"> </w:t>
      </w:r>
    </w:p>
    <w:p w:rsidR="00EC1118" w:rsidRDefault="00A16C50">
      <w:pPr>
        <w:autoSpaceDE w:val="0"/>
        <w:autoSpaceDN w:val="0"/>
        <w:adjustRightInd w:val="0"/>
        <w:snapToGrid w:val="0"/>
        <w:spacing w:line="360" w:lineRule="auto"/>
        <w:ind w:firstLineChars="200" w:firstLine="420"/>
        <w:jc w:val="left"/>
        <w:rPr>
          <w:rFonts w:ascii="宋体" w:hAnsi="宋体"/>
          <w:szCs w:val="21"/>
        </w:rPr>
      </w:pPr>
      <w:r>
        <w:rPr>
          <w:rFonts w:ascii="宋体" w:hAnsi="宋体" w:hint="eastAsia"/>
          <w:szCs w:val="21"/>
        </w:rPr>
        <w:t xml:space="preserve"> 由加劲梁的风险管理对策可以看出，即便是影响最小的I类风险，其需要管养人员开展的工作也不少。而对某一种风险事件，通常需要考虑不止一种的风险管理对策。</w:t>
      </w:r>
    </w:p>
    <w:p w:rsidR="00EC1118" w:rsidRPr="006E44AF" w:rsidRDefault="00A16C50" w:rsidP="003A3954">
      <w:pPr>
        <w:pStyle w:val="1"/>
        <w:numPr>
          <w:ilvl w:val="0"/>
          <w:numId w:val="0"/>
        </w:numPr>
        <w:snapToGrid w:val="0"/>
        <w:spacing w:beforeLines="50" w:afterLines="50"/>
        <w:jc w:val="center"/>
        <w:rPr>
          <w:rFonts w:ascii="黑体" w:eastAsia="黑体" w:hAnsi="黑体"/>
          <w:szCs w:val="28"/>
        </w:rPr>
      </w:pPr>
      <w:r w:rsidRPr="006E44AF">
        <w:rPr>
          <w:rFonts w:ascii="黑体" w:eastAsia="黑体" w:hAnsi="黑体" w:hint="eastAsia"/>
          <w:szCs w:val="28"/>
        </w:rPr>
        <w:t>五、结语</w:t>
      </w:r>
    </w:p>
    <w:p w:rsidR="00EC1118" w:rsidRDefault="00A16C50">
      <w:pPr>
        <w:autoSpaceDE w:val="0"/>
        <w:autoSpaceDN w:val="0"/>
        <w:adjustRightInd w:val="0"/>
        <w:snapToGrid w:val="0"/>
        <w:spacing w:line="360" w:lineRule="auto"/>
        <w:ind w:firstLineChars="200" w:firstLine="420"/>
        <w:jc w:val="left"/>
        <w:rPr>
          <w:rFonts w:ascii="宋体" w:hAnsi="宋体"/>
          <w:szCs w:val="21"/>
        </w:rPr>
      </w:pPr>
      <w:r>
        <w:rPr>
          <w:rFonts w:ascii="宋体" w:hAnsi="宋体" w:hint="eastAsia"/>
          <w:szCs w:val="21"/>
        </w:rPr>
        <w:t>按照《公路桥梁和隧道工程设计安全风险评估指南（试行）》的方法，开展了南京长江第四大桥主桥运营期的风险评估，根据典型结构的风险评估成果，按照桥梁管养工作的具体要求，提出了风险管理对策和编制南京四桥中长期养护规划的建议，相应成果可指导南京长江第四大桥开展运营期管养工作，并可作为其它</w:t>
      </w:r>
      <w:r w:rsidRPr="001618B1">
        <w:rPr>
          <w:rFonts w:ascii="宋体" w:hAnsi="宋体"/>
          <w:szCs w:val="21"/>
        </w:rPr>
        <w:t>长大桥梁</w:t>
      </w:r>
      <w:r w:rsidRPr="001618B1">
        <w:rPr>
          <w:rFonts w:ascii="宋体" w:hAnsi="宋体" w:hint="eastAsia"/>
          <w:szCs w:val="21"/>
        </w:rPr>
        <w:t>的</w:t>
      </w:r>
      <w:r w:rsidRPr="001618B1">
        <w:rPr>
          <w:rFonts w:ascii="宋体" w:hAnsi="宋体"/>
          <w:szCs w:val="21"/>
        </w:rPr>
        <w:t>运营管理</w:t>
      </w:r>
      <w:r w:rsidRPr="001618B1">
        <w:rPr>
          <w:rFonts w:ascii="宋体" w:hAnsi="宋体" w:hint="eastAsia"/>
          <w:szCs w:val="21"/>
        </w:rPr>
        <w:t>的参考。</w:t>
      </w:r>
    </w:p>
    <w:p w:rsidR="00EC1118" w:rsidRDefault="00A16C50">
      <w:pPr>
        <w:jc w:val="center"/>
        <w:rPr>
          <w:rFonts w:ascii="黑体" w:eastAsia="黑体" w:hAnsi="黑体" w:cs="黑体"/>
          <w:b/>
          <w:bCs/>
        </w:rPr>
      </w:pPr>
      <w:r>
        <w:rPr>
          <w:rFonts w:ascii="黑体" w:eastAsia="黑体" w:hAnsi="黑体" w:cs="黑体" w:hint="eastAsia"/>
          <w:b/>
          <w:bCs/>
        </w:rPr>
        <w:t>参考文献</w:t>
      </w:r>
    </w:p>
    <w:p w:rsidR="00EC1118" w:rsidRDefault="00A16C50">
      <w:pPr>
        <w:autoSpaceDE w:val="0"/>
        <w:autoSpaceDN w:val="0"/>
        <w:adjustRightInd w:val="0"/>
        <w:jc w:val="left"/>
        <w:rPr>
          <w:rFonts w:ascii="Times New Roman" w:eastAsia="DLF-32771-0-1101278632+ZJBJeB-9" w:hAnsi="Times New Roman"/>
          <w:kern w:val="0"/>
          <w:szCs w:val="21"/>
        </w:rPr>
      </w:pPr>
      <w:r>
        <w:rPr>
          <w:rFonts w:ascii="Times New Roman" w:eastAsia="DLF-3-0-1198616364+ZJBJeA-967" w:hAnsi="Times New Roman" w:hint="eastAsia"/>
          <w:kern w:val="0"/>
          <w:szCs w:val="21"/>
        </w:rPr>
        <w:t>[</w:t>
      </w:r>
      <w:r>
        <w:rPr>
          <w:rFonts w:ascii="Times New Roman" w:eastAsia="DLF-3-0-1198616364+ZJBJeA-967" w:hAnsi="Times New Roman"/>
          <w:kern w:val="0"/>
          <w:szCs w:val="21"/>
        </w:rPr>
        <w:t>1</w:t>
      </w:r>
      <w:r>
        <w:rPr>
          <w:rFonts w:ascii="Times New Roman" w:eastAsia="DLF-3-0-1198616364+ZJBJeA-967" w:hAnsi="Times New Roman" w:hint="eastAsia"/>
          <w:kern w:val="0"/>
          <w:szCs w:val="21"/>
        </w:rPr>
        <w:t>]</w:t>
      </w:r>
      <w:r>
        <w:rPr>
          <w:rFonts w:ascii="Times New Roman" w:hAnsi="Times New Roman"/>
          <w:kern w:val="0"/>
          <w:szCs w:val="21"/>
        </w:rPr>
        <w:t>交通运输部</w:t>
      </w:r>
      <w:r>
        <w:rPr>
          <w:rFonts w:ascii="Times New Roman" w:eastAsia="DLF-3-0-1198616364+ZJBJeA-967" w:hAnsi="Times New Roman" w:hint="eastAsia"/>
          <w:kern w:val="0"/>
          <w:szCs w:val="21"/>
        </w:rPr>
        <w:t>.</w:t>
      </w:r>
      <w:r>
        <w:rPr>
          <w:rFonts w:ascii="Times New Roman" w:hAnsi="Times New Roman"/>
          <w:kern w:val="0"/>
          <w:szCs w:val="21"/>
        </w:rPr>
        <w:t>关于在初步设计阶段实行公路桥梁和隧道工程安全风险评估制度的通知</w:t>
      </w:r>
      <w:r>
        <w:rPr>
          <w:rFonts w:ascii="Times New Roman" w:eastAsia="DLF-3-0-1198616364+ZJBJeA-967" w:hAnsi="Times New Roman"/>
          <w:kern w:val="0"/>
          <w:szCs w:val="21"/>
        </w:rPr>
        <w:t xml:space="preserve">[Z]. </w:t>
      </w:r>
      <w:r>
        <w:rPr>
          <w:rFonts w:ascii="Times New Roman" w:hAnsi="Times New Roman"/>
          <w:kern w:val="0"/>
          <w:szCs w:val="21"/>
        </w:rPr>
        <w:t>北京</w:t>
      </w:r>
      <w:r>
        <w:rPr>
          <w:rFonts w:ascii="Times New Roman" w:eastAsia="DLF-32769-4-818755949+ZJBJeA-96" w:hAnsi="Times New Roman"/>
          <w:kern w:val="0"/>
          <w:szCs w:val="21"/>
        </w:rPr>
        <w:t>：</w:t>
      </w:r>
      <w:r>
        <w:rPr>
          <w:rFonts w:ascii="Times New Roman" w:hAnsi="Times New Roman"/>
          <w:kern w:val="0"/>
          <w:szCs w:val="21"/>
        </w:rPr>
        <w:t>交通运输部</w:t>
      </w:r>
      <w:r>
        <w:rPr>
          <w:rFonts w:ascii="Times New Roman" w:eastAsia="DLF-32769-4-818755949+ZJBJeA-96" w:hAnsi="Times New Roman"/>
          <w:kern w:val="0"/>
          <w:szCs w:val="21"/>
        </w:rPr>
        <w:t>，</w:t>
      </w:r>
      <w:r>
        <w:rPr>
          <w:rFonts w:ascii="Times New Roman" w:eastAsia="DLF-3-0-1198616364+ZJBJeA-967" w:hAnsi="Times New Roman"/>
          <w:kern w:val="0"/>
          <w:szCs w:val="21"/>
        </w:rPr>
        <w:t>2010</w:t>
      </w:r>
      <w:r>
        <w:rPr>
          <w:rFonts w:ascii="Times New Roman" w:eastAsia="DLF-32771-0-1101278632+ZJBJeB-9" w:hAnsi="Times New Roman"/>
          <w:kern w:val="0"/>
          <w:szCs w:val="21"/>
        </w:rPr>
        <w:t>．</w:t>
      </w:r>
    </w:p>
    <w:p w:rsidR="00EC1118" w:rsidRDefault="00A16C50">
      <w:pPr>
        <w:autoSpaceDE w:val="0"/>
        <w:autoSpaceDN w:val="0"/>
        <w:adjustRightInd w:val="0"/>
        <w:jc w:val="left"/>
        <w:rPr>
          <w:rFonts w:ascii="Times New Roman" w:hAnsi="Times New Roman"/>
          <w:kern w:val="0"/>
          <w:szCs w:val="21"/>
        </w:rPr>
      </w:pPr>
      <w:r>
        <w:rPr>
          <w:rFonts w:ascii="Times New Roman" w:hAnsi="Times New Roman" w:hint="eastAsia"/>
          <w:kern w:val="0"/>
          <w:szCs w:val="21"/>
        </w:rPr>
        <w:t>[2]</w:t>
      </w:r>
      <w:r>
        <w:rPr>
          <w:rFonts w:ascii="Times New Roman" w:hAnsi="Times New Roman" w:hint="eastAsia"/>
          <w:kern w:val="0"/>
          <w:szCs w:val="21"/>
        </w:rPr>
        <w:t>张喜刚，徐国平，刘高，等．公路桥隧工程风险评估［</w:t>
      </w:r>
      <w:r>
        <w:rPr>
          <w:rFonts w:ascii="Times New Roman" w:hAnsi="Times New Roman"/>
          <w:kern w:val="0"/>
          <w:szCs w:val="21"/>
        </w:rPr>
        <w:t>J</w:t>
      </w:r>
      <w:r>
        <w:rPr>
          <w:rFonts w:ascii="Times New Roman" w:hAnsi="Times New Roman" w:hint="eastAsia"/>
          <w:kern w:val="0"/>
          <w:szCs w:val="21"/>
        </w:rPr>
        <w:t>］．公路交通科技．</w:t>
      </w:r>
      <w:r>
        <w:rPr>
          <w:rFonts w:ascii="Times New Roman" w:hAnsi="Times New Roman"/>
          <w:kern w:val="0"/>
          <w:szCs w:val="21"/>
        </w:rPr>
        <w:t>2010</w:t>
      </w:r>
      <w:r>
        <w:rPr>
          <w:rFonts w:ascii="Times New Roman" w:hAnsi="Times New Roman" w:hint="eastAsia"/>
          <w:kern w:val="0"/>
          <w:szCs w:val="21"/>
        </w:rPr>
        <w:t>，</w:t>
      </w:r>
      <w:r>
        <w:rPr>
          <w:rFonts w:ascii="Times New Roman" w:hAnsi="Times New Roman"/>
          <w:kern w:val="0"/>
          <w:szCs w:val="21"/>
        </w:rPr>
        <w:t>27( 11) : 73-77</w:t>
      </w:r>
      <w:r>
        <w:rPr>
          <w:rFonts w:ascii="Times New Roman" w:hAnsi="Times New Roman" w:hint="eastAsia"/>
          <w:kern w:val="0"/>
          <w:szCs w:val="21"/>
        </w:rPr>
        <w:t>．</w:t>
      </w:r>
    </w:p>
    <w:p w:rsidR="00EC1118" w:rsidRDefault="00A16C50">
      <w:pPr>
        <w:autoSpaceDE w:val="0"/>
        <w:autoSpaceDN w:val="0"/>
        <w:adjustRightInd w:val="0"/>
        <w:jc w:val="left"/>
        <w:rPr>
          <w:rFonts w:ascii="Times New Roman" w:hAnsi="Times New Roman"/>
          <w:kern w:val="0"/>
          <w:szCs w:val="21"/>
        </w:rPr>
      </w:pPr>
      <w:r>
        <w:rPr>
          <w:rFonts w:ascii="Times New Roman" w:hAnsi="Times New Roman" w:hint="eastAsia"/>
          <w:kern w:val="0"/>
          <w:szCs w:val="21"/>
        </w:rPr>
        <w:t>[3]</w:t>
      </w:r>
      <w:r>
        <w:rPr>
          <w:rFonts w:ascii="Times New Roman" w:hAnsi="Times New Roman" w:hint="eastAsia"/>
          <w:kern w:val="0"/>
          <w:szCs w:val="21"/>
        </w:rPr>
        <w:t>张杰</w:t>
      </w:r>
      <w:r>
        <w:rPr>
          <w:rFonts w:ascii="Times New Roman" w:hAnsi="Times New Roman" w:hint="eastAsia"/>
          <w:kern w:val="0"/>
          <w:szCs w:val="21"/>
        </w:rPr>
        <w:t>.</w:t>
      </w:r>
      <w:r>
        <w:rPr>
          <w:rFonts w:ascii="Times New Roman" w:hAnsi="Times New Roman" w:hint="eastAsia"/>
          <w:kern w:val="0"/>
          <w:szCs w:val="21"/>
        </w:rPr>
        <w:t>公路桥梁工程安全风险关注点及风险评估现状［</w:t>
      </w:r>
      <w:r>
        <w:rPr>
          <w:rFonts w:ascii="Times New Roman" w:hAnsi="Times New Roman"/>
          <w:kern w:val="0"/>
          <w:szCs w:val="21"/>
        </w:rPr>
        <w:t>J</w:t>
      </w:r>
      <w:r>
        <w:rPr>
          <w:rFonts w:ascii="Times New Roman" w:hAnsi="Times New Roman" w:hint="eastAsia"/>
          <w:kern w:val="0"/>
          <w:szCs w:val="21"/>
        </w:rPr>
        <w:t>］</w:t>
      </w:r>
      <w:r>
        <w:rPr>
          <w:rFonts w:ascii="Times New Roman" w:hAnsi="Times New Roman" w:hint="eastAsia"/>
          <w:kern w:val="0"/>
          <w:szCs w:val="21"/>
        </w:rPr>
        <w:t>.</w:t>
      </w:r>
      <w:r>
        <w:rPr>
          <w:rFonts w:ascii="Times New Roman" w:hAnsi="Times New Roman" w:hint="eastAsia"/>
          <w:kern w:val="0"/>
          <w:szCs w:val="21"/>
        </w:rPr>
        <w:t>地下空间与工程学报</w:t>
      </w:r>
      <w:r>
        <w:rPr>
          <w:rFonts w:ascii="Times New Roman" w:hAnsi="Times New Roman" w:hint="eastAsia"/>
          <w:kern w:val="0"/>
          <w:szCs w:val="21"/>
        </w:rPr>
        <w:t>.2012</w:t>
      </w:r>
      <w:r>
        <w:rPr>
          <w:rFonts w:ascii="Times New Roman" w:hAnsi="Times New Roman" w:hint="eastAsia"/>
          <w:kern w:val="0"/>
          <w:szCs w:val="21"/>
        </w:rPr>
        <w:t>，第</w:t>
      </w:r>
      <w:r>
        <w:rPr>
          <w:rFonts w:ascii="Times New Roman" w:hAnsi="Times New Roman" w:hint="eastAsia"/>
          <w:kern w:val="0"/>
          <w:szCs w:val="21"/>
        </w:rPr>
        <w:t>8</w:t>
      </w:r>
      <w:r>
        <w:rPr>
          <w:rFonts w:ascii="Times New Roman" w:hAnsi="Times New Roman" w:hint="eastAsia"/>
          <w:kern w:val="0"/>
          <w:szCs w:val="21"/>
        </w:rPr>
        <w:t>卷增刊</w:t>
      </w:r>
      <w:r>
        <w:rPr>
          <w:rFonts w:ascii="Times New Roman" w:hAnsi="Times New Roman" w:hint="eastAsia"/>
          <w:kern w:val="0"/>
          <w:szCs w:val="21"/>
        </w:rPr>
        <w:t>2.</w:t>
      </w:r>
    </w:p>
    <w:p w:rsidR="00EC1118" w:rsidRDefault="00A16C50">
      <w:pPr>
        <w:autoSpaceDE w:val="0"/>
        <w:autoSpaceDN w:val="0"/>
        <w:adjustRightInd w:val="0"/>
        <w:jc w:val="left"/>
        <w:rPr>
          <w:rFonts w:ascii="Times New Roman" w:hAnsi="Times New Roman"/>
          <w:kern w:val="0"/>
          <w:szCs w:val="21"/>
        </w:rPr>
      </w:pPr>
      <w:r>
        <w:rPr>
          <w:rFonts w:ascii="Times New Roman" w:hAnsi="Times New Roman" w:hint="eastAsia"/>
          <w:kern w:val="0"/>
          <w:szCs w:val="21"/>
        </w:rPr>
        <w:t>[4]</w:t>
      </w:r>
      <w:r>
        <w:rPr>
          <w:rFonts w:ascii="Times New Roman" w:hAnsi="Times New Roman" w:hint="eastAsia"/>
          <w:kern w:val="0"/>
          <w:szCs w:val="21"/>
        </w:rPr>
        <w:t>郭建，张强，马敬海</w:t>
      </w:r>
      <w:r>
        <w:rPr>
          <w:rFonts w:ascii="Times New Roman" w:hAnsi="Times New Roman" w:hint="eastAsia"/>
          <w:kern w:val="0"/>
          <w:szCs w:val="21"/>
        </w:rPr>
        <w:t xml:space="preserve">. </w:t>
      </w:r>
      <w:r>
        <w:rPr>
          <w:rFonts w:ascii="Times New Roman" w:hAnsi="Times New Roman" w:hint="eastAsia"/>
          <w:kern w:val="0"/>
          <w:szCs w:val="21"/>
        </w:rPr>
        <w:t>基于风险管理的跨海悬索桥养护管理［</w:t>
      </w:r>
      <w:r>
        <w:rPr>
          <w:rFonts w:ascii="Times New Roman" w:hAnsi="Times New Roman"/>
          <w:kern w:val="0"/>
          <w:szCs w:val="21"/>
        </w:rPr>
        <w:t>J</w:t>
      </w:r>
      <w:r>
        <w:rPr>
          <w:rFonts w:ascii="Times New Roman" w:hAnsi="Times New Roman" w:hint="eastAsia"/>
          <w:kern w:val="0"/>
          <w:szCs w:val="21"/>
        </w:rPr>
        <w:t>］</w:t>
      </w:r>
      <w:r>
        <w:rPr>
          <w:rFonts w:ascii="Times New Roman" w:hAnsi="Times New Roman" w:hint="eastAsia"/>
          <w:kern w:val="0"/>
          <w:szCs w:val="21"/>
        </w:rPr>
        <w:t>.</w:t>
      </w:r>
      <w:r>
        <w:rPr>
          <w:rFonts w:ascii="Times New Roman" w:hAnsi="Times New Roman" w:hint="eastAsia"/>
          <w:kern w:val="0"/>
          <w:szCs w:val="21"/>
        </w:rPr>
        <w:t>中国工程科学</w:t>
      </w:r>
      <w:r>
        <w:rPr>
          <w:rFonts w:ascii="Times New Roman" w:hAnsi="Times New Roman" w:hint="eastAsia"/>
          <w:kern w:val="0"/>
          <w:szCs w:val="21"/>
        </w:rPr>
        <w:t>.2010</w:t>
      </w:r>
      <w:r>
        <w:rPr>
          <w:rFonts w:ascii="Times New Roman" w:hAnsi="Times New Roman" w:hint="eastAsia"/>
          <w:kern w:val="0"/>
          <w:szCs w:val="21"/>
        </w:rPr>
        <w:t>，第</w:t>
      </w:r>
      <w:r>
        <w:rPr>
          <w:rFonts w:ascii="Times New Roman" w:hAnsi="Times New Roman" w:hint="eastAsia"/>
          <w:kern w:val="0"/>
          <w:szCs w:val="21"/>
        </w:rPr>
        <w:t>07</w:t>
      </w:r>
      <w:r>
        <w:rPr>
          <w:rFonts w:ascii="Times New Roman" w:hAnsi="Times New Roman" w:hint="eastAsia"/>
          <w:kern w:val="0"/>
          <w:szCs w:val="21"/>
        </w:rPr>
        <w:t>期</w:t>
      </w:r>
      <w:r>
        <w:rPr>
          <w:rFonts w:ascii="Times New Roman" w:hAnsi="Times New Roman" w:hint="eastAsia"/>
          <w:kern w:val="0"/>
          <w:szCs w:val="21"/>
        </w:rPr>
        <w:t>.</w:t>
      </w:r>
    </w:p>
    <w:p w:rsidR="00EC1118" w:rsidRDefault="00A16C50">
      <w:pPr>
        <w:autoSpaceDE w:val="0"/>
        <w:autoSpaceDN w:val="0"/>
        <w:adjustRightInd w:val="0"/>
        <w:jc w:val="left"/>
        <w:rPr>
          <w:rFonts w:ascii="Times New Roman" w:hAnsi="Times New Roman"/>
          <w:kern w:val="0"/>
          <w:szCs w:val="21"/>
        </w:rPr>
      </w:pPr>
      <w:r>
        <w:rPr>
          <w:rFonts w:ascii="Times New Roman" w:hAnsi="Times New Roman" w:hint="eastAsia"/>
          <w:kern w:val="0"/>
          <w:szCs w:val="21"/>
        </w:rPr>
        <w:t>[5]</w:t>
      </w:r>
      <w:r>
        <w:rPr>
          <w:rFonts w:ascii="Times New Roman" w:hAnsi="Times New Roman" w:hint="eastAsia"/>
          <w:kern w:val="0"/>
          <w:szCs w:val="21"/>
        </w:rPr>
        <w:t>张杰</w:t>
      </w:r>
      <w:r>
        <w:rPr>
          <w:rFonts w:ascii="Times New Roman" w:hAnsi="Times New Roman" w:hint="eastAsia"/>
          <w:kern w:val="0"/>
          <w:szCs w:val="21"/>
        </w:rPr>
        <w:t>.</w:t>
      </w:r>
      <w:r>
        <w:rPr>
          <w:rFonts w:ascii="Times New Roman" w:hAnsi="Times New Roman"/>
          <w:kern w:val="0"/>
          <w:szCs w:val="21"/>
        </w:rPr>
        <w:t>云南保腾高速公路龙江特大桥</w:t>
      </w:r>
      <w:r>
        <w:rPr>
          <w:rFonts w:ascii="Times New Roman" w:hAnsi="Times New Roman" w:hint="eastAsia"/>
          <w:kern w:val="0"/>
          <w:szCs w:val="21"/>
        </w:rPr>
        <w:t>主桥</w:t>
      </w:r>
      <w:r>
        <w:rPr>
          <w:rFonts w:ascii="Times New Roman" w:hAnsi="Times New Roman"/>
          <w:kern w:val="0"/>
          <w:szCs w:val="21"/>
        </w:rPr>
        <w:t>初步设计阶段安全风险评估</w:t>
      </w:r>
      <w:r>
        <w:rPr>
          <w:rFonts w:ascii="Times New Roman" w:hAnsi="Times New Roman" w:hint="eastAsia"/>
          <w:kern w:val="0"/>
          <w:szCs w:val="21"/>
        </w:rPr>
        <w:t>报告</w:t>
      </w:r>
      <w:r>
        <w:rPr>
          <w:rFonts w:ascii="Times New Roman" w:hAnsi="Times New Roman" w:hint="eastAsia"/>
          <w:kern w:val="0"/>
          <w:szCs w:val="21"/>
        </w:rPr>
        <w:t>[R</w:t>
      </w:r>
      <w:r>
        <w:rPr>
          <w:rFonts w:ascii="Times New Roman" w:hAnsi="Times New Roman" w:hint="eastAsia"/>
          <w:kern w:val="0"/>
          <w:szCs w:val="21"/>
        </w:rPr>
        <w:t>］</w:t>
      </w:r>
      <w:r>
        <w:rPr>
          <w:rFonts w:ascii="Times New Roman" w:hAnsi="Times New Roman" w:hint="eastAsia"/>
          <w:kern w:val="0"/>
          <w:szCs w:val="21"/>
        </w:rPr>
        <w:t>.</w:t>
      </w:r>
      <w:r>
        <w:rPr>
          <w:rFonts w:ascii="Times New Roman" w:hAnsi="Times New Roman" w:hint="eastAsia"/>
          <w:kern w:val="0"/>
          <w:szCs w:val="21"/>
        </w:rPr>
        <w:t>北京：中交公路规划设计院有限公司，云南省交通规划设计研究院，</w:t>
      </w:r>
      <w:r>
        <w:rPr>
          <w:rFonts w:ascii="Times New Roman" w:hAnsi="Times New Roman" w:hint="eastAsia"/>
          <w:kern w:val="0"/>
          <w:szCs w:val="21"/>
        </w:rPr>
        <w:t>2009</w:t>
      </w:r>
      <w:r>
        <w:rPr>
          <w:rFonts w:ascii="Times New Roman" w:hAnsi="Times New Roman" w:hint="eastAsia"/>
          <w:kern w:val="0"/>
          <w:szCs w:val="21"/>
        </w:rPr>
        <w:t>年</w:t>
      </w:r>
      <w:r>
        <w:rPr>
          <w:rFonts w:ascii="Times New Roman" w:hAnsi="Times New Roman" w:hint="eastAsia"/>
          <w:kern w:val="0"/>
          <w:szCs w:val="21"/>
        </w:rPr>
        <w:t>.</w:t>
      </w:r>
    </w:p>
    <w:p w:rsidR="00EC1118" w:rsidRDefault="00A16C50">
      <w:pPr>
        <w:autoSpaceDE w:val="0"/>
        <w:autoSpaceDN w:val="0"/>
        <w:adjustRightInd w:val="0"/>
        <w:jc w:val="left"/>
        <w:rPr>
          <w:rFonts w:ascii="Times New Roman" w:hAnsi="Times New Roman"/>
          <w:kern w:val="0"/>
          <w:szCs w:val="21"/>
        </w:rPr>
      </w:pPr>
      <w:r>
        <w:rPr>
          <w:rFonts w:ascii="Times New Roman" w:hAnsi="Times New Roman" w:hint="eastAsia"/>
          <w:kern w:val="0"/>
          <w:szCs w:val="21"/>
        </w:rPr>
        <w:t>[6]</w:t>
      </w:r>
      <w:r>
        <w:rPr>
          <w:rFonts w:ascii="Times New Roman" w:hAnsi="Times New Roman" w:hint="eastAsia"/>
          <w:kern w:val="0"/>
          <w:szCs w:val="21"/>
        </w:rPr>
        <w:t>丁鸿志，郭志明</w:t>
      </w:r>
      <w:r>
        <w:rPr>
          <w:rFonts w:ascii="Times New Roman" w:hAnsi="Times New Roman" w:hint="eastAsia"/>
          <w:kern w:val="0"/>
          <w:szCs w:val="21"/>
        </w:rPr>
        <w:t xml:space="preserve">. </w:t>
      </w:r>
      <w:r>
        <w:rPr>
          <w:rFonts w:ascii="Times New Roman" w:hAnsi="Times New Roman" w:hint="eastAsia"/>
          <w:kern w:val="0"/>
          <w:szCs w:val="21"/>
        </w:rPr>
        <w:t>南京长江三桥健康监测系统在</w:t>
      </w:r>
      <w:r>
        <w:rPr>
          <w:rFonts w:ascii="Times New Roman" w:hAnsi="Times New Roman" w:hint="eastAsia"/>
          <w:kern w:val="0"/>
          <w:szCs w:val="21"/>
        </w:rPr>
        <w:t>2008</w:t>
      </w:r>
      <w:r>
        <w:rPr>
          <w:rFonts w:ascii="Times New Roman" w:hAnsi="Times New Roman" w:hint="eastAsia"/>
          <w:kern w:val="0"/>
          <w:szCs w:val="21"/>
        </w:rPr>
        <w:t>年雪灾中的应用［</w:t>
      </w:r>
      <w:r>
        <w:rPr>
          <w:rFonts w:ascii="Times New Roman" w:hAnsi="Times New Roman" w:hint="eastAsia"/>
          <w:kern w:val="0"/>
          <w:szCs w:val="21"/>
        </w:rPr>
        <w:t>C</w:t>
      </w:r>
      <w:r>
        <w:rPr>
          <w:rFonts w:ascii="Times New Roman" w:hAnsi="Times New Roman" w:hint="eastAsia"/>
          <w:kern w:val="0"/>
          <w:szCs w:val="21"/>
        </w:rPr>
        <w:t>］</w:t>
      </w:r>
      <w:r>
        <w:rPr>
          <w:rFonts w:ascii="Times New Roman" w:hAnsi="Times New Roman" w:hint="eastAsia"/>
          <w:kern w:val="0"/>
          <w:szCs w:val="21"/>
        </w:rPr>
        <w:t xml:space="preserve">. </w:t>
      </w:r>
      <w:r>
        <w:rPr>
          <w:rFonts w:ascii="Arial" w:hAnsi="Arial" w:cs="Arial"/>
          <w:color w:val="333333"/>
          <w:sz w:val="20"/>
          <w:szCs w:val="20"/>
        </w:rPr>
        <w:t>中国公路学会桥梁和结构工程分会</w:t>
      </w:r>
      <w:r>
        <w:rPr>
          <w:rFonts w:ascii="Arial" w:hAnsi="Arial" w:cs="Arial"/>
          <w:color w:val="333333"/>
          <w:sz w:val="20"/>
          <w:szCs w:val="20"/>
        </w:rPr>
        <w:t>2008</w:t>
      </w:r>
      <w:r>
        <w:rPr>
          <w:rFonts w:ascii="Arial" w:hAnsi="Arial" w:cs="Arial"/>
          <w:color w:val="333333"/>
          <w:sz w:val="20"/>
          <w:szCs w:val="20"/>
        </w:rPr>
        <w:t>年全国桥梁学术会议论文集</w:t>
      </w:r>
      <w:r>
        <w:rPr>
          <w:rFonts w:ascii="Arial" w:hAnsi="Arial" w:cs="Arial" w:hint="eastAsia"/>
          <w:color w:val="333333"/>
          <w:sz w:val="20"/>
          <w:szCs w:val="20"/>
        </w:rPr>
        <w:t>，</w:t>
      </w:r>
      <w:r>
        <w:rPr>
          <w:rFonts w:ascii="Arial" w:hAnsi="Arial" w:cs="Arial" w:hint="eastAsia"/>
          <w:color w:val="333333"/>
          <w:sz w:val="20"/>
          <w:szCs w:val="20"/>
        </w:rPr>
        <w:t>2008</w:t>
      </w:r>
      <w:r>
        <w:rPr>
          <w:rFonts w:ascii="Arial" w:hAnsi="Arial" w:cs="Arial" w:hint="eastAsia"/>
          <w:color w:val="333333"/>
          <w:sz w:val="20"/>
          <w:szCs w:val="20"/>
        </w:rPr>
        <w:t>：</w:t>
      </w:r>
      <w:r>
        <w:rPr>
          <w:rFonts w:ascii="Arial" w:hAnsi="Arial" w:cs="Arial" w:hint="eastAsia"/>
          <w:color w:val="333333"/>
          <w:sz w:val="20"/>
          <w:szCs w:val="20"/>
        </w:rPr>
        <w:t>970-976.</w:t>
      </w:r>
    </w:p>
    <w:p w:rsidR="00EC1118" w:rsidRPr="00E82169" w:rsidRDefault="00A16C50" w:rsidP="00E82169">
      <w:pPr>
        <w:autoSpaceDE w:val="0"/>
        <w:autoSpaceDN w:val="0"/>
        <w:adjustRightInd w:val="0"/>
        <w:jc w:val="left"/>
        <w:rPr>
          <w:rFonts w:ascii="Times New Roman" w:hAnsi="Times New Roman"/>
          <w:kern w:val="0"/>
          <w:szCs w:val="21"/>
        </w:rPr>
      </w:pPr>
      <w:r>
        <w:rPr>
          <w:rFonts w:ascii="Times New Roman" w:hAnsi="Times New Roman" w:hint="eastAsia"/>
          <w:kern w:val="0"/>
          <w:szCs w:val="21"/>
        </w:rPr>
        <w:t>[7]</w:t>
      </w:r>
      <w:r>
        <w:rPr>
          <w:rFonts w:ascii="Times New Roman" w:hAnsi="Times New Roman" w:hint="eastAsia"/>
          <w:kern w:val="0"/>
          <w:szCs w:val="21"/>
        </w:rPr>
        <w:t>中华人民共和国交通部，</w:t>
      </w:r>
      <w:r>
        <w:rPr>
          <w:rFonts w:ascii="Times New Roman" w:hAnsi="Times New Roman" w:hint="eastAsia"/>
          <w:kern w:val="0"/>
          <w:szCs w:val="21"/>
        </w:rPr>
        <w:t>JTG H11-2004</w:t>
      </w:r>
      <w:r>
        <w:rPr>
          <w:rFonts w:ascii="Times New Roman" w:hAnsi="Times New Roman" w:hint="eastAsia"/>
          <w:kern w:val="0"/>
          <w:szCs w:val="21"/>
        </w:rPr>
        <w:t>，</w:t>
      </w:r>
      <w:r>
        <w:rPr>
          <w:rFonts w:ascii="Times New Roman" w:hAnsi="Times New Roman"/>
          <w:kern w:val="0"/>
          <w:szCs w:val="21"/>
        </w:rPr>
        <w:t>公路桥涵养护规范</w:t>
      </w:r>
      <w:r>
        <w:rPr>
          <w:rFonts w:ascii="Times New Roman" w:hAnsi="Times New Roman" w:hint="eastAsia"/>
          <w:kern w:val="0"/>
          <w:szCs w:val="21"/>
        </w:rPr>
        <w:t>，北京，人民交通出版社，</w:t>
      </w:r>
      <w:r>
        <w:rPr>
          <w:rFonts w:ascii="Times New Roman" w:hAnsi="Times New Roman" w:hint="eastAsia"/>
          <w:kern w:val="0"/>
          <w:szCs w:val="21"/>
        </w:rPr>
        <w:t>2004.</w:t>
      </w:r>
    </w:p>
    <w:sectPr w:rsidR="00EC1118" w:rsidRPr="00E82169" w:rsidSect="006E44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6C2" w:rsidRDefault="00CC26C2" w:rsidP="00555B4B">
      <w:r>
        <w:separator/>
      </w:r>
    </w:p>
  </w:endnote>
  <w:endnote w:type="continuationSeparator" w:id="1">
    <w:p w:rsidR="00CC26C2" w:rsidRDefault="00CC26C2" w:rsidP="00555B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DLF-3-0-1198616364+ZJBJeA-967">
    <w:altName w:val="方正舒体"/>
    <w:charset w:val="86"/>
    <w:family w:val="auto"/>
    <w:pitch w:val="default"/>
    <w:sig w:usb0="00000000" w:usb1="00000000" w:usb2="00000010" w:usb3="00000000" w:csb0="00040000" w:csb1="00000000"/>
  </w:font>
  <w:font w:name="DLF-32771-0-1101278632+ZJBJeB-9">
    <w:altName w:val="方正舒体"/>
    <w:charset w:val="86"/>
    <w:family w:val="auto"/>
    <w:pitch w:val="default"/>
    <w:sig w:usb0="00000000" w:usb1="00000000" w:usb2="00000010" w:usb3="00000000" w:csb0="00040000" w:csb1="00000000"/>
  </w:font>
  <w:font w:name="DLF-32769-4-818755949+ZJBJeA-96">
    <w:altName w:val="方正舒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6C2" w:rsidRDefault="00CC26C2" w:rsidP="00555B4B">
      <w:r>
        <w:separator/>
      </w:r>
    </w:p>
  </w:footnote>
  <w:footnote w:type="continuationSeparator" w:id="1">
    <w:p w:rsidR="00CC26C2" w:rsidRDefault="00CC26C2" w:rsidP="00555B4B">
      <w:r>
        <w:continuationSeparator/>
      </w:r>
    </w:p>
  </w:footnote>
  <w:footnote w:id="2">
    <w:p w:rsidR="00355584" w:rsidRDefault="00355584">
      <w:pPr>
        <w:pStyle w:val="a7"/>
      </w:pPr>
      <w:r>
        <w:rPr>
          <w:rStyle w:val="a8"/>
        </w:rPr>
        <w:footnoteRef/>
      </w:r>
      <w:r>
        <w:t xml:space="preserve"> </w:t>
      </w:r>
      <w:r>
        <w:t>作者姓名</w:t>
      </w:r>
      <w:r>
        <w:rPr>
          <w:rFonts w:hint="eastAsia"/>
        </w:rPr>
        <w:t>（</w:t>
      </w:r>
      <w:r>
        <w:rPr>
          <w:rFonts w:hint="eastAsia"/>
        </w:rPr>
        <w:t>1980-</w:t>
      </w:r>
      <w:r>
        <w:rPr>
          <w:rFonts w:hint="eastAsia"/>
        </w:rPr>
        <w:t>），男，东南大学交通学院教授，从事交通安全研究，</w:t>
      </w:r>
      <w:r>
        <w:rPr>
          <w:rFonts w:hint="eastAsia"/>
        </w:rPr>
        <w:t>E-mail</w:t>
      </w:r>
      <w:r>
        <w:rPr>
          <w:rFonts w:hint="eastAsia"/>
        </w:rPr>
        <w:t>：</w:t>
      </w:r>
      <w:r>
        <w:rPr>
          <w:rFonts w:hint="eastAsia"/>
        </w:rPr>
        <w:t>1234567@163.com</w:t>
      </w:r>
    </w:p>
  </w:footnote>
  <w:footnote w:id="3">
    <w:p w:rsidR="00355584" w:rsidRDefault="00355584">
      <w:pPr>
        <w:pStyle w:val="a7"/>
      </w:pPr>
      <w:r>
        <w:rPr>
          <w:rStyle w:val="a8"/>
        </w:rPr>
        <w:footnoteRef/>
      </w:r>
      <w:r>
        <w:rPr>
          <w:rFonts w:hint="eastAsia"/>
        </w:rPr>
        <w:t xml:space="preserve"> </w:t>
      </w:r>
      <w:r>
        <w:t>作者姓名</w:t>
      </w:r>
      <w:r>
        <w:rPr>
          <w:rFonts w:hint="eastAsia"/>
        </w:rPr>
        <w:t>（</w:t>
      </w:r>
      <w:r>
        <w:rPr>
          <w:rFonts w:hint="eastAsia"/>
        </w:rPr>
        <w:t>1996-</w:t>
      </w:r>
      <w:r>
        <w:rPr>
          <w:rFonts w:hint="eastAsia"/>
        </w:rPr>
        <w:t>），男，东南大学交通学院硕士生，从事交通安全研究，</w:t>
      </w:r>
      <w:r>
        <w:rPr>
          <w:rFonts w:hint="eastAsia"/>
        </w:rPr>
        <w:t>E-mail</w:t>
      </w:r>
      <w:r>
        <w:rPr>
          <w:rFonts w:hint="eastAsia"/>
        </w:rPr>
        <w:t>：</w:t>
      </w:r>
      <w:r w:rsidR="006E44AF">
        <w:rPr>
          <w:rFonts w:hint="eastAsia"/>
        </w:rPr>
        <w:t>7654321</w:t>
      </w:r>
      <w:r>
        <w:rPr>
          <w:rFonts w:hint="eastAsia"/>
        </w:rPr>
        <w:t>@163.com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E5D3D"/>
    <w:multiLevelType w:val="multilevel"/>
    <w:tmpl w:val="0A6E5D3D"/>
    <w:lvl w:ilvl="0">
      <w:start w:val="1"/>
      <w:numFmt w:val="decimal"/>
      <w:pStyle w:val="1"/>
      <w:lvlText w:val="%1"/>
      <w:lvlJc w:val="left"/>
      <w:pPr>
        <w:tabs>
          <w:tab w:val="left" w:pos="1418"/>
        </w:tabs>
        <w:ind w:left="1418" w:hanging="425"/>
      </w:pPr>
      <w:rPr>
        <w:rFonts w:hint="eastAsia"/>
      </w:rPr>
    </w:lvl>
    <w:lvl w:ilvl="1">
      <w:start w:val="1"/>
      <w:numFmt w:val="decimal"/>
      <w:pStyle w:val="2"/>
      <w:lvlText w:val="2.%2"/>
      <w:lvlJc w:val="left"/>
      <w:pPr>
        <w:tabs>
          <w:tab w:val="left" w:pos="1560"/>
        </w:tabs>
        <w:ind w:left="1560" w:hanging="567"/>
      </w:pPr>
      <w:rPr>
        <w:rFonts w:hint="eastAsia"/>
      </w:rPr>
    </w:lvl>
    <w:lvl w:ilvl="2">
      <w:start w:val="1"/>
      <w:numFmt w:val="decimal"/>
      <w:lvlText w:val="%1.%2.%3."/>
      <w:lvlJc w:val="left"/>
      <w:pPr>
        <w:tabs>
          <w:tab w:val="left" w:pos="1702"/>
        </w:tabs>
        <w:ind w:left="1702" w:hanging="709"/>
      </w:pPr>
      <w:rPr>
        <w:rFonts w:hint="eastAsia"/>
      </w:rPr>
    </w:lvl>
    <w:lvl w:ilvl="3">
      <w:start w:val="1"/>
      <w:numFmt w:val="decimal"/>
      <w:lvlText w:val="%1.%2.%3.%4."/>
      <w:lvlJc w:val="left"/>
      <w:pPr>
        <w:tabs>
          <w:tab w:val="left" w:pos="1844"/>
        </w:tabs>
        <w:ind w:left="1844" w:hanging="851"/>
      </w:pPr>
      <w:rPr>
        <w:rFonts w:hint="eastAsia"/>
      </w:rPr>
    </w:lvl>
    <w:lvl w:ilvl="4">
      <w:start w:val="1"/>
      <w:numFmt w:val="decimal"/>
      <w:lvlText w:val="%1.%2.%3.%4.%5."/>
      <w:lvlJc w:val="left"/>
      <w:pPr>
        <w:tabs>
          <w:tab w:val="left" w:pos="1985"/>
        </w:tabs>
        <w:ind w:left="1985" w:hanging="992"/>
      </w:pPr>
      <w:rPr>
        <w:rFonts w:hint="eastAsia"/>
      </w:rPr>
    </w:lvl>
    <w:lvl w:ilvl="5">
      <w:start w:val="1"/>
      <w:numFmt w:val="decimal"/>
      <w:lvlText w:val="%1.%2.%3.%4.%5.%6."/>
      <w:lvlJc w:val="left"/>
      <w:pPr>
        <w:tabs>
          <w:tab w:val="left" w:pos="2127"/>
        </w:tabs>
        <w:ind w:left="2127" w:hanging="1134"/>
      </w:pPr>
      <w:rPr>
        <w:rFonts w:hint="eastAsia"/>
      </w:rPr>
    </w:lvl>
    <w:lvl w:ilvl="6">
      <w:start w:val="1"/>
      <w:numFmt w:val="decimal"/>
      <w:lvlText w:val="%1.%2.%3.%4.%5.%6.%7."/>
      <w:lvlJc w:val="left"/>
      <w:pPr>
        <w:tabs>
          <w:tab w:val="left" w:pos="2269"/>
        </w:tabs>
        <w:ind w:left="2269" w:hanging="1276"/>
      </w:pPr>
      <w:rPr>
        <w:rFonts w:hint="eastAsia"/>
      </w:rPr>
    </w:lvl>
    <w:lvl w:ilvl="7">
      <w:start w:val="1"/>
      <w:numFmt w:val="decimal"/>
      <w:lvlText w:val="%1.%2.%3.%4.%5.%6.%7.%8."/>
      <w:lvlJc w:val="left"/>
      <w:pPr>
        <w:tabs>
          <w:tab w:val="left" w:pos="2411"/>
        </w:tabs>
        <w:ind w:left="2411" w:hanging="1418"/>
      </w:pPr>
      <w:rPr>
        <w:rFonts w:hint="eastAsia"/>
      </w:rPr>
    </w:lvl>
    <w:lvl w:ilvl="8">
      <w:start w:val="1"/>
      <w:numFmt w:val="decimal"/>
      <w:lvlText w:val="%1.%2.%3.%4.%5.%6.%7.%8.%9."/>
      <w:lvlJc w:val="left"/>
      <w:pPr>
        <w:tabs>
          <w:tab w:val="left" w:pos="2552"/>
        </w:tabs>
        <w:ind w:left="2552" w:hanging="1559"/>
      </w:pPr>
      <w:rPr>
        <w:rFonts w:hint="eastAsia"/>
      </w:rPr>
    </w:lvl>
  </w:abstractNum>
  <w:abstractNum w:abstractNumId="1">
    <w:nsid w:val="10071CED"/>
    <w:multiLevelType w:val="multilevel"/>
    <w:tmpl w:val="10071CED"/>
    <w:lvl w:ilvl="0">
      <w:start w:val="1"/>
      <w:numFmt w:val="none"/>
      <w:pStyle w:val="Abstract"/>
      <w:lvlText w:val="Abstract:"/>
      <w:lvlJc w:val="left"/>
      <w:pPr>
        <w:tabs>
          <w:tab w:val="left" w:pos="1080"/>
        </w:tabs>
        <w:ind w:left="360" w:hanging="360"/>
      </w:pPr>
      <w:rPr>
        <w:rFonts w:ascii="Arial" w:hAnsi="Arial" w:hint="default"/>
        <w:b/>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4DB54CE"/>
    <w:multiLevelType w:val="multilevel"/>
    <w:tmpl w:val="44DB54CE"/>
    <w:lvl w:ilvl="0">
      <w:start w:val="1"/>
      <w:numFmt w:val="none"/>
      <w:pStyle w:val="keywords"/>
      <w:lvlText w:val="key words: "/>
      <w:lvlJc w:val="left"/>
      <w:pPr>
        <w:tabs>
          <w:tab w:val="left" w:pos="1080"/>
        </w:tabs>
        <w:ind w:left="360" w:hanging="360"/>
      </w:pPr>
      <w:rPr>
        <w:rFonts w:ascii="Arial" w:hAnsi="Arial" w:hint="default"/>
        <w:b/>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1143224"/>
    <w:multiLevelType w:val="multilevel"/>
    <w:tmpl w:val="51143224"/>
    <w:lvl w:ilvl="0">
      <w:start w:val="1"/>
      <w:numFmt w:val="none"/>
      <w:pStyle w:val="CKeyWords"/>
      <w:lvlText w:val="关键词："/>
      <w:lvlJc w:val="left"/>
      <w:pPr>
        <w:tabs>
          <w:tab w:val="left" w:pos="1500"/>
        </w:tabs>
        <w:ind w:left="840" w:hanging="420"/>
      </w:pPr>
      <w:rPr>
        <w:rFonts w:eastAsia="黑体" w:hint="eastAsia"/>
        <w:b/>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7D447A9C"/>
    <w:multiLevelType w:val="multilevel"/>
    <w:tmpl w:val="7D447A9C"/>
    <w:lvl w:ilvl="0">
      <w:start w:val="1"/>
      <w:numFmt w:val="none"/>
      <w:pStyle w:val="CAbstract"/>
      <w:lvlText w:val="摘  要："/>
      <w:lvlJc w:val="left"/>
      <w:pPr>
        <w:tabs>
          <w:tab w:val="left" w:pos="720"/>
        </w:tabs>
        <w:ind w:left="420" w:hanging="420"/>
      </w:pPr>
      <w:rPr>
        <w:rFonts w:eastAsia="黑体" w:hint="eastAsia"/>
        <w:b/>
        <w:i w:val="0"/>
        <w:sz w:val="18"/>
      </w:rPr>
    </w:lvl>
    <w:lvl w:ilvl="1">
      <w:start w:val="1"/>
      <w:numFmt w:val="none"/>
      <w:lvlText w:val="关键词："/>
      <w:lvlJc w:val="left"/>
      <w:pPr>
        <w:tabs>
          <w:tab w:val="left" w:pos="1500"/>
        </w:tabs>
        <w:ind w:left="840" w:hanging="420"/>
      </w:pPr>
      <w:rPr>
        <w:rFonts w:eastAsia="黑体" w:hint="eastAsia"/>
        <w:b/>
        <w:i w:val="0"/>
        <w:sz w:val="18"/>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1AB7"/>
    <w:rsid w:val="001618B1"/>
    <w:rsid w:val="001B7EF8"/>
    <w:rsid w:val="001F4918"/>
    <w:rsid w:val="00354D67"/>
    <w:rsid w:val="00355584"/>
    <w:rsid w:val="003A3954"/>
    <w:rsid w:val="003A3BCE"/>
    <w:rsid w:val="00483AB6"/>
    <w:rsid w:val="004904EE"/>
    <w:rsid w:val="00555B4B"/>
    <w:rsid w:val="005A5011"/>
    <w:rsid w:val="005B6D8E"/>
    <w:rsid w:val="006E44AF"/>
    <w:rsid w:val="007749A1"/>
    <w:rsid w:val="00836586"/>
    <w:rsid w:val="00856246"/>
    <w:rsid w:val="008745CB"/>
    <w:rsid w:val="00942735"/>
    <w:rsid w:val="00A16C50"/>
    <w:rsid w:val="00A56068"/>
    <w:rsid w:val="00A6140B"/>
    <w:rsid w:val="00AB1AB7"/>
    <w:rsid w:val="00CC26C2"/>
    <w:rsid w:val="00E769EC"/>
    <w:rsid w:val="00E82169"/>
    <w:rsid w:val="00EC1118"/>
    <w:rsid w:val="00FA2845"/>
    <w:rsid w:val="00FC2830"/>
    <w:rsid w:val="037A645A"/>
    <w:rsid w:val="038114CE"/>
    <w:rsid w:val="0D845411"/>
    <w:rsid w:val="0E9A7813"/>
    <w:rsid w:val="1B2052F6"/>
    <w:rsid w:val="20C6527F"/>
    <w:rsid w:val="26A252E9"/>
    <w:rsid w:val="26FC616E"/>
    <w:rsid w:val="2E2449DA"/>
    <w:rsid w:val="352D5E7B"/>
    <w:rsid w:val="367D11C3"/>
    <w:rsid w:val="382F1BE8"/>
    <w:rsid w:val="3BAA04CC"/>
    <w:rsid w:val="55135F41"/>
    <w:rsid w:val="5AD24B1A"/>
    <w:rsid w:val="61F27B51"/>
    <w:rsid w:val="69EE3F6F"/>
    <w:rsid w:val="7B2F2E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118"/>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EC1118"/>
    <w:pPr>
      <w:keepNext/>
      <w:keepLines/>
      <w:numPr>
        <w:numId w:val="1"/>
      </w:numPr>
      <w:outlineLvl w:val="0"/>
    </w:pPr>
    <w:rPr>
      <w:rFonts w:ascii="Times New Roman" w:hAnsi="Times New Roman"/>
      <w:b/>
      <w:kern w:val="44"/>
      <w:sz w:val="28"/>
      <w:szCs w:val="20"/>
    </w:rPr>
  </w:style>
  <w:style w:type="paragraph" w:styleId="2">
    <w:name w:val="heading 2"/>
    <w:basedOn w:val="a"/>
    <w:next w:val="a"/>
    <w:link w:val="2Char"/>
    <w:qFormat/>
    <w:rsid w:val="00EC1118"/>
    <w:pPr>
      <w:keepNext/>
      <w:keepLines/>
      <w:numPr>
        <w:ilvl w:val="1"/>
        <w:numId w:val="1"/>
      </w:numPr>
      <w:outlineLvl w:val="1"/>
    </w:pPr>
    <w:rPr>
      <w:rFonts w:ascii="Times New Roman" w:eastAsia="黑体" w:hAnsi="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EC1118"/>
    <w:pPr>
      <w:spacing w:after="120" w:line="360" w:lineRule="auto"/>
    </w:pPr>
    <w:rPr>
      <w:rFonts w:ascii="Times New Roman" w:hAnsi="Times New Roman"/>
      <w:color w:val="000000"/>
      <w:sz w:val="24"/>
      <w:szCs w:val="24"/>
    </w:rPr>
  </w:style>
  <w:style w:type="paragraph" w:styleId="a4">
    <w:name w:val="Balloon Text"/>
    <w:basedOn w:val="a"/>
    <w:link w:val="Char0"/>
    <w:uiPriority w:val="99"/>
    <w:unhideWhenUsed/>
    <w:rsid w:val="00EC1118"/>
    <w:rPr>
      <w:sz w:val="18"/>
      <w:szCs w:val="18"/>
    </w:rPr>
  </w:style>
  <w:style w:type="paragraph" w:styleId="a5">
    <w:name w:val="footer"/>
    <w:basedOn w:val="a"/>
    <w:link w:val="Char1"/>
    <w:uiPriority w:val="99"/>
    <w:unhideWhenUsed/>
    <w:rsid w:val="00EC1118"/>
    <w:pPr>
      <w:tabs>
        <w:tab w:val="center" w:pos="4153"/>
        <w:tab w:val="right" w:pos="8306"/>
      </w:tabs>
      <w:snapToGrid w:val="0"/>
      <w:jc w:val="left"/>
    </w:pPr>
    <w:rPr>
      <w:sz w:val="18"/>
      <w:szCs w:val="18"/>
    </w:rPr>
  </w:style>
  <w:style w:type="paragraph" w:styleId="a6">
    <w:name w:val="header"/>
    <w:basedOn w:val="a"/>
    <w:link w:val="Char2"/>
    <w:uiPriority w:val="99"/>
    <w:unhideWhenUsed/>
    <w:rsid w:val="00EC111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EC1118"/>
    <w:rPr>
      <w:sz w:val="18"/>
      <w:szCs w:val="18"/>
    </w:rPr>
  </w:style>
  <w:style w:type="character" w:customStyle="1" w:styleId="Char1">
    <w:name w:val="页脚 Char"/>
    <w:basedOn w:val="a0"/>
    <w:link w:val="a5"/>
    <w:uiPriority w:val="99"/>
    <w:semiHidden/>
    <w:rsid w:val="00EC1118"/>
    <w:rPr>
      <w:sz w:val="18"/>
      <w:szCs w:val="18"/>
    </w:rPr>
  </w:style>
  <w:style w:type="character" w:customStyle="1" w:styleId="Char0">
    <w:name w:val="批注框文本 Char"/>
    <w:basedOn w:val="a0"/>
    <w:link w:val="a4"/>
    <w:uiPriority w:val="99"/>
    <w:semiHidden/>
    <w:rsid w:val="00EC1118"/>
    <w:rPr>
      <w:sz w:val="18"/>
      <w:szCs w:val="18"/>
    </w:rPr>
  </w:style>
  <w:style w:type="character" w:customStyle="1" w:styleId="1Char">
    <w:name w:val="标题 1 Char"/>
    <w:basedOn w:val="a0"/>
    <w:link w:val="1"/>
    <w:rsid w:val="00EC1118"/>
    <w:rPr>
      <w:rFonts w:ascii="Times New Roman" w:eastAsia="宋体" w:hAnsi="Times New Roman" w:cs="Times New Roman"/>
      <w:b/>
      <w:kern w:val="44"/>
      <w:sz w:val="28"/>
      <w:szCs w:val="20"/>
    </w:rPr>
  </w:style>
  <w:style w:type="character" w:customStyle="1" w:styleId="2Char">
    <w:name w:val="标题 2 Char"/>
    <w:basedOn w:val="a0"/>
    <w:link w:val="2"/>
    <w:rsid w:val="00EC1118"/>
    <w:rPr>
      <w:rFonts w:ascii="Times New Roman" w:eastAsia="黑体" w:hAnsi="Times New Roman" w:cs="Times New Roman"/>
      <w:b/>
      <w:szCs w:val="20"/>
    </w:rPr>
  </w:style>
  <w:style w:type="paragraph" w:customStyle="1" w:styleId="ChineseTitle">
    <w:name w:val="Chinese Title"/>
    <w:basedOn w:val="a"/>
    <w:next w:val="CAuthor"/>
    <w:rsid w:val="00EC1118"/>
    <w:pPr>
      <w:spacing w:beforeLines="300" w:afterLines="150"/>
      <w:jc w:val="center"/>
    </w:pPr>
    <w:rPr>
      <w:rFonts w:ascii="黑体" w:eastAsia="黑体" w:hAnsi="Times New Roman"/>
      <w:b/>
      <w:bCs/>
      <w:sz w:val="36"/>
      <w:szCs w:val="24"/>
    </w:rPr>
  </w:style>
  <w:style w:type="paragraph" w:customStyle="1" w:styleId="CAuthor">
    <w:name w:val="CAuthor"/>
    <w:basedOn w:val="a"/>
    <w:next w:val="CAffiliation"/>
    <w:rsid w:val="00EC1118"/>
    <w:pPr>
      <w:spacing w:beforeLines="50" w:afterLines="50"/>
      <w:jc w:val="center"/>
    </w:pPr>
    <w:rPr>
      <w:rFonts w:ascii="楷体_GB2312" w:eastAsia="楷体_GB2312" w:hAnsi="Times New Roman"/>
      <w:sz w:val="28"/>
      <w:szCs w:val="24"/>
    </w:rPr>
  </w:style>
  <w:style w:type="paragraph" w:customStyle="1" w:styleId="CAffiliation">
    <w:name w:val="CAffiliation"/>
    <w:basedOn w:val="a"/>
    <w:next w:val="CAbstract"/>
    <w:rsid w:val="00EC1118"/>
    <w:pPr>
      <w:spacing w:beforeLines="50" w:afterLines="50"/>
      <w:jc w:val="center"/>
    </w:pPr>
    <w:rPr>
      <w:rFonts w:ascii="宋体" w:hAnsi="宋体"/>
      <w:sz w:val="15"/>
      <w:szCs w:val="24"/>
    </w:rPr>
  </w:style>
  <w:style w:type="paragraph" w:customStyle="1" w:styleId="CAbstract">
    <w:name w:val="CAbstract"/>
    <w:basedOn w:val="a"/>
    <w:next w:val="CKeyWords"/>
    <w:rsid w:val="00EC1118"/>
    <w:pPr>
      <w:numPr>
        <w:numId w:val="2"/>
      </w:numPr>
      <w:spacing w:beforeLines="50" w:afterLines="50"/>
      <w:ind w:rightChars="180" w:right="378"/>
    </w:pPr>
    <w:rPr>
      <w:rFonts w:ascii="Times New Roman" w:hAnsi="Times New Roman"/>
      <w:sz w:val="18"/>
      <w:szCs w:val="24"/>
    </w:rPr>
  </w:style>
  <w:style w:type="paragraph" w:customStyle="1" w:styleId="CKeyWords">
    <w:name w:val="CKeyWords"/>
    <w:basedOn w:val="a"/>
    <w:next w:val="a"/>
    <w:rsid w:val="00EC1118"/>
    <w:pPr>
      <w:numPr>
        <w:numId w:val="3"/>
      </w:numPr>
      <w:spacing w:beforeLines="50" w:afterLines="50"/>
      <w:ind w:rightChars="180" w:right="378"/>
    </w:pPr>
    <w:rPr>
      <w:rFonts w:ascii="Times New Roman" w:hAnsi="Times New Roman"/>
      <w:sz w:val="18"/>
      <w:szCs w:val="24"/>
    </w:rPr>
  </w:style>
  <w:style w:type="paragraph" w:customStyle="1" w:styleId="keywords">
    <w:name w:val="key words"/>
    <w:basedOn w:val="a"/>
    <w:next w:val="a"/>
    <w:rsid w:val="00EC1118"/>
    <w:pPr>
      <w:numPr>
        <w:numId w:val="4"/>
      </w:numPr>
      <w:tabs>
        <w:tab w:val="clear" w:pos="1080"/>
      </w:tabs>
      <w:spacing w:beforeLines="50" w:afterLines="100"/>
      <w:ind w:left="1069" w:hangingChars="594" w:hanging="1069"/>
    </w:pPr>
    <w:rPr>
      <w:rFonts w:ascii="Times New Roman" w:hAnsi="Times New Roman"/>
      <w:sz w:val="18"/>
      <w:szCs w:val="24"/>
    </w:rPr>
  </w:style>
  <w:style w:type="paragraph" w:customStyle="1" w:styleId="Abstract">
    <w:name w:val="Abstract"/>
    <w:basedOn w:val="a"/>
    <w:next w:val="keywords"/>
    <w:rsid w:val="00EC1118"/>
    <w:pPr>
      <w:numPr>
        <w:numId w:val="5"/>
      </w:numPr>
      <w:spacing w:beforeLines="50" w:afterLines="50"/>
    </w:pPr>
    <w:rPr>
      <w:rFonts w:ascii="Times New Roman" w:hAnsi="Times New Roman" w:cs="Arial"/>
      <w:sz w:val="18"/>
      <w:szCs w:val="24"/>
    </w:rPr>
  </w:style>
  <w:style w:type="paragraph" w:customStyle="1" w:styleId="EnglishTitle">
    <w:name w:val="English Title"/>
    <w:basedOn w:val="a"/>
    <w:next w:val="a"/>
    <w:rsid w:val="00EC1118"/>
    <w:pPr>
      <w:spacing w:beforeLines="250" w:afterLines="50"/>
      <w:jc w:val="center"/>
    </w:pPr>
    <w:rPr>
      <w:rFonts w:ascii="Arial" w:hAnsi="Arial" w:cs="Arial"/>
      <w:sz w:val="44"/>
      <w:szCs w:val="24"/>
    </w:rPr>
  </w:style>
  <w:style w:type="character" w:customStyle="1" w:styleId="Char">
    <w:name w:val="正文文本 Char"/>
    <w:basedOn w:val="a0"/>
    <w:link w:val="a3"/>
    <w:rsid w:val="00EC1118"/>
    <w:rPr>
      <w:rFonts w:ascii="Times New Roman" w:eastAsia="宋体" w:hAnsi="Times New Roman" w:cs="Times New Roman"/>
      <w:color w:val="000000"/>
      <w:sz w:val="24"/>
      <w:szCs w:val="24"/>
    </w:rPr>
  </w:style>
  <w:style w:type="character" w:customStyle="1" w:styleId="hps">
    <w:name w:val="hps"/>
    <w:basedOn w:val="a0"/>
    <w:rsid w:val="00EC1118"/>
  </w:style>
  <w:style w:type="paragraph" w:styleId="a7">
    <w:name w:val="footnote text"/>
    <w:basedOn w:val="a"/>
    <w:link w:val="Char3"/>
    <w:uiPriority w:val="99"/>
    <w:semiHidden/>
    <w:unhideWhenUsed/>
    <w:rsid w:val="00555B4B"/>
    <w:pPr>
      <w:snapToGrid w:val="0"/>
      <w:jc w:val="left"/>
    </w:pPr>
    <w:rPr>
      <w:sz w:val="18"/>
      <w:szCs w:val="18"/>
    </w:rPr>
  </w:style>
  <w:style w:type="character" w:customStyle="1" w:styleId="Char3">
    <w:name w:val="脚注文本 Char"/>
    <w:basedOn w:val="a0"/>
    <w:link w:val="a7"/>
    <w:uiPriority w:val="99"/>
    <w:semiHidden/>
    <w:rsid w:val="00555B4B"/>
    <w:rPr>
      <w:rFonts w:ascii="Calibri" w:eastAsia="宋体" w:hAnsi="Calibri" w:cs="Times New Roman"/>
      <w:kern w:val="2"/>
      <w:sz w:val="18"/>
      <w:szCs w:val="18"/>
    </w:rPr>
  </w:style>
  <w:style w:type="character" w:styleId="a8">
    <w:name w:val="footnote reference"/>
    <w:basedOn w:val="a0"/>
    <w:uiPriority w:val="99"/>
    <w:semiHidden/>
    <w:unhideWhenUsed/>
    <w:rsid w:val="00555B4B"/>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http://baike.baidu.com/view/2875468.htm" TargetMode="External"/><Relationship Id="rId4" Type="http://schemas.openxmlformats.org/officeDocument/2006/relationships/styles" Target="styles.xml"/><Relationship Id="rId9" Type="http://schemas.openxmlformats.org/officeDocument/2006/relationships/hyperlink" Target="http://baike.baidu.com/view/3625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64B745-3C27-4EE7-9141-77F1291E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487</Words>
  <Characters>2778</Characters>
  <Application>Microsoft Office Word</Application>
  <DocSecurity>0</DocSecurity>
  <Lines>23</Lines>
  <Paragraphs>6</Paragraphs>
  <ScaleCrop>false</ScaleCrop>
  <Company>www.hao251.com</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i027</dc:creator>
  <cp:lastModifiedBy>侯明瑜</cp:lastModifiedBy>
  <cp:revision>3</cp:revision>
  <dcterms:created xsi:type="dcterms:W3CDTF">2019-01-24T05:29:00Z</dcterms:created>
  <dcterms:modified xsi:type="dcterms:W3CDTF">2019-01-24T06:22:00Z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